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406" w:rsidRDefault="00786406" w:rsidP="00DD42B7">
      <w:pPr>
        <w:spacing w:after="0" w:line="240" w:lineRule="auto"/>
        <w:jc w:val="center"/>
        <w:rPr>
          <w:rFonts w:ascii="Arial" w:hAnsi="Arial" w:cs="Arial"/>
          <w:b/>
        </w:rPr>
      </w:pPr>
      <w:r w:rsidRPr="00786406">
        <w:rPr>
          <w:rFonts w:ascii="Arial" w:hAnsi="Arial" w:cs="Arial"/>
          <w:b/>
        </w:rPr>
        <w:t xml:space="preserve">Порядок расчета при отсутствии прибора учета </w:t>
      </w:r>
    </w:p>
    <w:p w:rsidR="00786406" w:rsidRDefault="00DD42B7" w:rsidP="00786406">
      <w:pPr>
        <w:spacing w:after="0" w:line="240" w:lineRule="auto"/>
        <w:jc w:val="center"/>
        <w:rPr>
          <w:rFonts w:ascii="Arial" w:hAnsi="Arial" w:cs="Arial"/>
          <w:sz w:val="20"/>
          <w:szCs w:val="20"/>
        </w:rPr>
      </w:pPr>
      <w:r w:rsidRPr="00DD42B7">
        <w:rPr>
          <w:rFonts w:ascii="Arial" w:hAnsi="Arial" w:cs="Arial"/>
          <w:sz w:val="20"/>
          <w:szCs w:val="20"/>
        </w:rPr>
        <w:t xml:space="preserve">(пункт </w:t>
      </w:r>
      <w:r w:rsidR="00786406">
        <w:rPr>
          <w:rFonts w:ascii="Arial" w:hAnsi="Arial" w:cs="Arial"/>
          <w:sz w:val="20"/>
          <w:szCs w:val="20"/>
        </w:rPr>
        <w:t>1</w:t>
      </w:r>
      <w:r w:rsidRPr="00DD42B7">
        <w:rPr>
          <w:rFonts w:ascii="Arial" w:hAnsi="Arial" w:cs="Arial"/>
          <w:sz w:val="20"/>
          <w:szCs w:val="20"/>
        </w:rPr>
        <w:t xml:space="preserve">40 </w:t>
      </w:r>
      <w:r w:rsidR="00786406" w:rsidRPr="00786406">
        <w:rPr>
          <w:rFonts w:ascii="Arial" w:hAnsi="Arial" w:cs="Arial"/>
          <w:sz w:val="20"/>
          <w:szCs w:val="20"/>
        </w:rPr>
        <w:t>Основны</w:t>
      </w:r>
      <w:r w:rsidR="00786406">
        <w:rPr>
          <w:rFonts w:ascii="Arial" w:hAnsi="Arial" w:cs="Arial"/>
          <w:sz w:val="20"/>
          <w:szCs w:val="20"/>
        </w:rPr>
        <w:t>х</w:t>
      </w:r>
      <w:r w:rsidR="00786406" w:rsidRPr="00786406">
        <w:rPr>
          <w:rFonts w:ascii="Arial" w:hAnsi="Arial" w:cs="Arial"/>
          <w:sz w:val="20"/>
          <w:szCs w:val="20"/>
        </w:rPr>
        <w:t xml:space="preserve"> положени</w:t>
      </w:r>
      <w:r w:rsidR="00786406">
        <w:rPr>
          <w:rFonts w:ascii="Arial" w:hAnsi="Arial" w:cs="Arial"/>
          <w:sz w:val="20"/>
          <w:szCs w:val="20"/>
        </w:rPr>
        <w:t>й</w:t>
      </w:r>
      <w:r w:rsidR="00786406" w:rsidRPr="00786406">
        <w:rPr>
          <w:rFonts w:ascii="Arial" w:hAnsi="Arial" w:cs="Arial"/>
          <w:sz w:val="20"/>
          <w:szCs w:val="20"/>
        </w:rPr>
        <w:t xml:space="preserve"> функционирования розничных рынков электрической энергии</w:t>
      </w:r>
      <w:r w:rsidR="00786406">
        <w:rPr>
          <w:rFonts w:ascii="Arial" w:hAnsi="Arial" w:cs="Arial"/>
          <w:sz w:val="20"/>
          <w:szCs w:val="20"/>
        </w:rPr>
        <w:t xml:space="preserve">, </w:t>
      </w:r>
    </w:p>
    <w:p w:rsidR="00786406" w:rsidRDefault="00786406" w:rsidP="00786406">
      <w:pPr>
        <w:spacing w:after="0" w:line="240" w:lineRule="auto"/>
        <w:jc w:val="center"/>
        <w:rPr>
          <w:rFonts w:ascii="Arial" w:hAnsi="Arial" w:cs="Arial"/>
          <w:sz w:val="20"/>
          <w:szCs w:val="20"/>
        </w:rPr>
      </w:pPr>
      <w:r>
        <w:rPr>
          <w:rFonts w:ascii="Arial" w:hAnsi="Arial" w:cs="Arial"/>
          <w:sz w:val="20"/>
          <w:szCs w:val="20"/>
        </w:rPr>
        <w:t>утв.</w:t>
      </w:r>
      <w:r w:rsidRPr="00786406">
        <w:rPr>
          <w:rFonts w:ascii="Arial" w:hAnsi="Arial" w:cs="Arial"/>
          <w:sz w:val="20"/>
          <w:szCs w:val="20"/>
        </w:rPr>
        <w:t xml:space="preserve"> Постановление</w:t>
      </w:r>
      <w:r>
        <w:rPr>
          <w:rFonts w:ascii="Arial" w:hAnsi="Arial" w:cs="Arial"/>
          <w:sz w:val="20"/>
          <w:szCs w:val="20"/>
        </w:rPr>
        <w:t>м</w:t>
      </w:r>
      <w:r w:rsidRPr="00786406">
        <w:rPr>
          <w:rFonts w:ascii="Arial" w:hAnsi="Arial" w:cs="Arial"/>
          <w:sz w:val="20"/>
          <w:szCs w:val="20"/>
        </w:rPr>
        <w:t xml:space="preserve"> Прави</w:t>
      </w:r>
      <w:r>
        <w:rPr>
          <w:rFonts w:ascii="Arial" w:hAnsi="Arial" w:cs="Arial"/>
          <w:sz w:val="20"/>
          <w:szCs w:val="20"/>
        </w:rPr>
        <w:t xml:space="preserve">тельства РФ от 04.05.2012 № 442 </w:t>
      </w:r>
    </w:p>
    <w:p w:rsidR="00DD42B7" w:rsidRPr="00C40CFF" w:rsidRDefault="00786406" w:rsidP="00786406">
      <w:pPr>
        <w:spacing w:after="0" w:line="240" w:lineRule="auto"/>
        <w:jc w:val="center"/>
        <w:rPr>
          <w:rFonts w:ascii="Arial" w:hAnsi="Arial" w:cs="Arial"/>
          <w:sz w:val="20"/>
          <w:szCs w:val="20"/>
        </w:rPr>
      </w:pPr>
      <w:r>
        <w:rPr>
          <w:rFonts w:ascii="Arial" w:hAnsi="Arial" w:cs="Arial"/>
          <w:sz w:val="20"/>
          <w:szCs w:val="20"/>
        </w:rPr>
        <w:t>(далее – Основные положения № 442</w:t>
      </w:r>
      <w:r w:rsidR="00DD42B7" w:rsidRPr="00DD42B7">
        <w:rPr>
          <w:rFonts w:ascii="Arial" w:hAnsi="Arial" w:cs="Arial"/>
          <w:sz w:val="20"/>
          <w:szCs w:val="20"/>
        </w:rPr>
        <w:t>)</w:t>
      </w:r>
      <w:r>
        <w:rPr>
          <w:rFonts w:ascii="Arial" w:hAnsi="Arial" w:cs="Arial"/>
          <w:sz w:val="20"/>
          <w:szCs w:val="20"/>
        </w:rPr>
        <w:t>)</w:t>
      </w:r>
    </w:p>
    <w:p w:rsidR="00DD42B7" w:rsidRDefault="00DD42B7" w:rsidP="00DD42B7">
      <w:pPr>
        <w:spacing w:after="0" w:line="240" w:lineRule="auto"/>
        <w:ind w:firstLine="709"/>
        <w:jc w:val="both"/>
        <w:rPr>
          <w:rFonts w:ascii="Arial" w:hAnsi="Arial" w:cs="Arial"/>
        </w:rPr>
      </w:pPr>
    </w:p>
    <w:p w:rsidR="00786406" w:rsidRPr="00786406" w:rsidRDefault="00786406" w:rsidP="00786406">
      <w:pPr>
        <w:tabs>
          <w:tab w:val="left" w:pos="993"/>
        </w:tabs>
        <w:autoSpaceDE w:val="0"/>
        <w:autoSpaceDN w:val="0"/>
        <w:adjustRightInd w:val="0"/>
        <w:spacing w:after="0" w:line="240" w:lineRule="auto"/>
        <w:ind w:firstLine="709"/>
        <w:jc w:val="both"/>
        <w:rPr>
          <w:rFonts w:ascii="Arial" w:hAnsi="Arial" w:cs="Arial"/>
        </w:rPr>
      </w:pPr>
      <w:r w:rsidRPr="00786406">
        <w:rPr>
          <w:rFonts w:ascii="Arial" w:hAnsi="Arial" w:cs="Arial"/>
        </w:rPr>
        <w:t>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rsidR="00786406" w:rsidRPr="00786406" w:rsidRDefault="00786406" w:rsidP="00786406">
      <w:pPr>
        <w:pStyle w:val="a4"/>
        <w:numPr>
          <w:ilvl w:val="0"/>
          <w:numId w:val="3"/>
        </w:numPr>
        <w:tabs>
          <w:tab w:val="left" w:pos="993"/>
        </w:tabs>
        <w:autoSpaceDE w:val="0"/>
        <w:autoSpaceDN w:val="0"/>
        <w:adjustRightInd w:val="0"/>
        <w:spacing w:after="0" w:line="240" w:lineRule="auto"/>
        <w:ind w:left="0" w:firstLine="709"/>
        <w:jc w:val="both"/>
        <w:rPr>
          <w:rFonts w:ascii="Arial" w:hAnsi="Arial" w:cs="Arial"/>
        </w:rPr>
      </w:pPr>
      <w:r w:rsidRPr="00EE4B9A">
        <w:rPr>
          <w:rFonts w:ascii="Arial" w:hAnsi="Arial" w:cs="Arial"/>
        </w:rPr>
        <w:t>показаний приборов учета</w:t>
      </w:r>
      <w:r w:rsidRPr="00786406">
        <w:rPr>
          <w:rFonts w:ascii="Arial" w:hAnsi="Arial" w:cs="Arial"/>
        </w:rPr>
        <w:t>,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w:t>
      </w:r>
    </w:p>
    <w:p w:rsidR="00786406" w:rsidRPr="00786406" w:rsidRDefault="00786406" w:rsidP="00786406">
      <w:pPr>
        <w:pStyle w:val="a4"/>
        <w:numPr>
          <w:ilvl w:val="0"/>
          <w:numId w:val="3"/>
        </w:numPr>
        <w:tabs>
          <w:tab w:val="left" w:pos="993"/>
        </w:tabs>
        <w:autoSpaceDE w:val="0"/>
        <w:autoSpaceDN w:val="0"/>
        <w:adjustRightInd w:val="0"/>
        <w:spacing w:after="0" w:line="240" w:lineRule="auto"/>
        <w:ind w:left="0" w:firstLine="709"/>
        <w:jc w:val="both"/>
        <w:rPr>
          <w:rFonts w:ascii="Arial" w:hAnsi="Arial" w:cs="Arial"/>
        </w:rPr>
      </w:pPr>
      <w:r w:rsidRPr="00786406">
        <w:rPr>
          <w:rFonts w:ascii="Arial" w:hAnsi="Arial" w:cs="Arial"/>
        </w:rPr>
        <w:t>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w:t>
      </w:r>
      <w:r w:rsidRPr="00786406">
        <w:rPr>
          <w:rStyle w:val="a7"/>
          <w:rFonts w:ascii="Arial" w:hAnsi="Arial" w:cs="Arial"/>
        </w:rPr>
        <w:footnoteReference w:id="1"/>
      </w:r>
      <w:r w:rsidRPr="00786406">
        <w:rPr>
          <w:rFonts w:ascii="Arial" w:hAnsi="Arial" w:cs="Arial"/>
        </w:rPr>
        <w:t xml:space="preserve"> или иными расчетными способами, предусмотренных Основными положениями № 442 и </w:t>
      </w:r>
      <w:hyperlink r:id="rId8" w:history="1">
        <w:r w:rsidRPr="00786406">
          <w:rPr>
            <w:rFonts w:ascii="Arial" w:hAnsi="Arial" w:cs="Arial"/>
          </w:rPr>
          <w:t>приложением № 3</w:t>
        </w:r>
      </w:hyperlink>
      <w:r w:rsidRPr="00786406">
        <w:rPr>
          <w:rFonts w:ascii="Arial" w:hAnsi="Arial" w:cs="Arial"/>
        </w:rPr>
        <w:t xml:space="preserve"> к ним. </w:t>
      </w:r>
    </w:p>
    <w:p w:rsidR="00C40CFF" w:rsidRDefault="00C40CFF" w:rsidP="00786406">
      <w:pPr>
        <w:spacing w:after="0" w:line="240" w:lineRule="auto"/>
        <w:ind w:firstLine="992"/>
        <w:jc w:val="both"/>
        <w:rPr>
          <w:rFonts w:ascii="Arial" w:hAnsi="Arial" w:cs="Arial"/>
        </w:rPr>
      </w:pPr>
    </w:p>
    <w:tbl>
      <w:tblPr>
        <w:tblStyle w:val="a3"/>
        <w:tblW w:w="0" w:type="auto"/>
        <w:tblLook w:val="04A0" w:firstRow="1" w:lastRow="0" w:firstColumn="1" w:lastColumn="0" w:noHBand="0" w:noVBand="1"/>
      </w:tblPr>
      <w:tblGrid>
        <w:gridCol w:w="9344"/>
      </w:tblGrid>
      <w:tr w:rsidR="00C40CFF" w:rsidTr="00C40CFF">
        <w:tc>
          <w:tcPr>
            <w:tcW w:w="9344" w:type="dxa"/>
          </w:tcPr>
          <w:p w:rsidR="00C40CFF" w:rsidRPr="00236B0A" w:rsidRDefault="00786406" w:rsidP="00236B0A">
            <w:pPr>
              <w:autoSpaceDE w:val="0"/>
              <w:autoSpaceDN w:val="0"/>
              <w:adjustRightInd w:val="0"/>
              <w:ind w:firstLine="734"/>
              <w:jc w:val="both"/>
              <w:rPr>
                <w:rFonts w:ascii="Arial" w:hAnsi="Arial" w:cs="Arial"/>
                <w:b/>
                <w:i/>
                <w:u w:val="single"/>
              </w:rPr>
            </w:pPr>
            <w:r w:rsidRPr="00236B0A">
              <w:rPr>
                <w:rFonts w:ascii="Arial" w:hAnsi="Arial" w:cs="Arial"/>
                <w:b/>
                <w:i/>
                <w:u w:val="single"/>
              </w:rPr>
              <w:t>Расчет «А»</w:t>
            </w:r>
          </w:p>
          <w:p w:rsidR="00786406" w:rsidRPr="00786406" w:rsidRDefault="00786406" w:rsidP="00786406">
            <w:pPr>
              <w:autoSpaceDE w:val="0"/>
              <w:autoSpaceDN w:val="0"/>
              <w:adjustRightInd w:val="0"/>
              <w:ind w:firstLine="734"/>
              <w:jc w:val="both"/>
              <w:rPr>
                <w:rFonts w:ascii="Arial" w:hAnsi="Arial" w:cs="Arial"/>
              </w:rPr>
            </w:pPr>
            <w:r>
              <w:rPr>
                <w:rFonts w:ascii="Arial" w:hAnsi="Arial" w:cs="Arial"/>
              </w:rPr>
              <w:t>О</w:t>
            </w:r>
            <w:r w:rsidRPr="00786406">
              <w:rPr>
                <w:rFonts w:ascii="Arial" w:hAnsi="Arial" w:cs="Arial"/>
              </w:rPr>
              <w:t>бъем потребления электрической энергии (мощности) в соответствующей точке поставки, МВт</w:t>
            </w:r>
            <w:r>
              <w:rPr>
                <w:rFonts w:ascii="Arial" w:hAnsi="Arial" w:cs="Arial"/>
                <w:noProof/>
                <w:position w:val="1"/>
                <w:lang w:eastAsia="ru-RU"/>
              </w:rPr>
              <w:t>*</w:t>
            </w:r>
            <w:r w:rsidRPr="00786406">
              <w:rPr>
                <w:rFonts w:ascii="Arial" w:hAnsi="Arial" w:cs="Arial"/>
              </w:rPr>
              <w:t>ч, определяется:</w:t>
            </w:r>
          </w:p>
          <w:p w:rsidR="00786406" w:rsidRPr="00786406" w:rsidRDefault="00786406" w:rsidP="00786406">
            <w:pPr>
              <w:autoSpaceDE w:val="0"/>
              <w:autoSpaceDN w:val="0"/>
              <w:adjustRightInd w:val="0"/>
              <w:ind w:firstLine="734"/>
              <w:jc w:val="both"/>
              <w:rPr>
                <w:rFonts w:ascii="Arial" w:hAnsi="Arial" w:cs="Arial"/>
              </w:rPr>
            </w:pPr>
            <w:r w:rsidRPr="00786406">
              <w:rPr>
                <w:rFonts w:ascii="Arial" w:hAnsi="Arial" w:cs="Arial"/>
              </w:rPr>
              <w:t>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по формуле:</w:t>
            </w:r>
          </w:p>
          <w:p w:rsidR="00786406" w:rsidRPr="00786406" w:rsidRDefault="00786406" w:rsidP="00236B0A">
            <w:pPr>
              <w:autoSpaceDE w:val="0"/>
              <w:autoSpaceDN w:val="0"/>
              <w:adjustRightInd w:val="0"/>
              <w:ind w:firstLine="25"/>
              <w:jc w:val="center"/>
              <w:rPr>
                <w:rFonts w:ascii="Arial" w:hAnsi="Arial" w:cs="Arial"/>
              </w:rPr>
            </w:pPr>
            <w:r w:rsidRPr="00236B0A">
              <w:rPr>
                <w:rFonts w:ascii="Arial" w:hAnsi="Arial" w:cs="Arial"/>
                <w:b/>
                <w:noProof/>
                <w:position w:val="-7"/>
                <w:lang w:eastAsia="ru-RU"/>
              </w:rPr>
              <w:drawing>
                <wp:inline distT="0" distB="0" distL="0" distR="0">
                  <wp:extent cx="700405" cy="222250"/>
                  <wp:effectExtent l="0" t="0" r="444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0405" cy="222250"/>
                          </a:xfrm>
                          <a:prstGeom prst="rect">
                            <a:avLst/>
                          </a:prstGeom>
                          <a:noFill/>
                          <a:ln>
                            <a:noFill/>
                          </a:ln>
                        </pic:spPr>
                      </pic:pic>
                    </a:graphicData>
                  </a:graphic>
                </wp:inline>
              </w:drawing>
            </w:r>
            <w:r w:rsidRPr="00786406">
              <w:rPr>
                <w:rFonts w:ascii="Arial" w:hAnsi="Arial" w:cs="Arial"/>
              </w:rPr>
              <w:t>,</w:t>
            </w:r>
          </w:p>
          <w:p w:rsidR="00786406" w:rsidRPr="00236B0A" w:rsidRDefault="00786406" w:rsidP="00786406">
            <w:pPr>
              <w:autoSpaceDE w:val="0"/>
              <w:autoSpaceDN w:val="0"/>
              <w:adjustRightInd w:val="0"/>
              <w:ind w:firstLine="734"/>
              <w:jc w:val="both"/>
              <w:rPr>
                <w:rFonts w:ascii="Arial" w:hAnsi="Arial" w:cs="Arial"/>
                <w:sz w:val="20"/>
                <w:szCs w:val="20"/>
              </w:rPr>
            </w:pPr>
            <w:r w:rsidRPr="00236B0A">
              <w:rPr>
                <w:rFonts w:ascii="Arial" w:hAnsi="Arial" w:cs="Arial"/>
                <w:sz w:val="20"/>
                <w:szCs w:val="20"/>
              </w:rPr>
              <w:t>где:</w:t>
            </w:r>
          </w:p>
          <w:p w:rsidR="00786406" w:rsidRPr="00236B0A" w:rsidRDefault="00786406" w:rsidP="00786406">
            <w:pPr>
              <w:autoSpaceDE w:val="0"/>
              <w:autoSpaceDN w:val="0"/>
              <w:adjustRightInd w:val="0"/>
              <w:ind w:firstLine="734"/>
              <w:jc w:val="both"/>
              <w:rPr>
                <w:rFonts w:ascii="Arial" w:hAnsi="Arial" w:cs="Arial"/>
                <w:sz w:val="20"/>
                <w:szCs w:val="20"/>
              </w:rPr>
            </w:pPr>
            <w:r w:rsidRPr="00236B0A">
              <w:rPr>
                <w:rFonts w:ascii="Arial" w:hAnsi="Arial" w:cs="Arial"/>
                <w:sz w:val="20"/>
                <w:szCs w:val="20"/>
              </w:rPr>
              <w:t>P</w:t>
            </w:r>
            <w:r w:rsidRPr="00236B0A">
              <w:rPr>
                <w:rFonts w:ascii="Arial" w:hAnsi="Arial" w:cs="Arial"/>
                <w:sz w:val="20"/>
                <w:szCs w:val="20"/>
                <w:vertAlign w:val="subscript"/>
              </w:rPr>
              <w:t>макс</w:t>
            </w:r>
            <w:r w:rsidRPr="00236B0A">
              <w:rPr>
                <w:rFonts w:ascii="Arial" w:hAnsi="Arial" w:cs="Arial"/>
                <w:sz w:val="20"/>
                <w:szCs w:val="20"/>
              </w:rP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786406" w:rsidRPr="00236B0A" w:rsidRDefault="00786406" w:rsidP="00786406">
            <w:pPr>
              <w:autoSpaceDE w:val="0"/>
              <w:autoSpaceDN w:val="0"/>
              <w:adjustRightInd w:val="0"/>
              <w:ind w:firstLine="734"/>
              <w:jc w:val="both"/>
              <w:rPr>
                <w:rFonts w:ascii="Arial" w:hAnsi="Arial" w:cs="Arial"/>
                <w:sz w:val="20"/>
                <w:szCs w:val="20"/>
              </w:rPr>
            </w:pPr>
            <w:r w:rsidRPr="00236B0A">
              <w:rPr>
                <w:rFonts w:ascii="Arial" w:hAnsi="Arial" w:cs="Arial"/>
                <w:sz w:val="20"/>
                <w:szCs w:val="20"/>
              </w:rPr>
              <w:t>T - количество часов в расчетном периоде, используемое при расчете безучетного потребления, но не более 4380 часов. При определении объема безучетного потребления количество часов потребления электрической энергии признается равным 24 часам в сутки вне зависимости от фактического режима работы потребителя и (или) количества часов использования им электрической энергии (мощности);</w:t>
            </w:r>
          </w:p>
          <w:p w:rsidR="00786406" w:rsidRPr="00786406" w:rsidRDefault="00786406" w:rsidP="00786406">
            <w:pPr>
              <w:autoSpaceDE w:val="0"/>
              <w:autoSpaceDN w:val="0"/>
              <w:adjustRightInd w:val="0"/>
              <w:ind w:firstLine="734"/>
              <w:jc w:val="both"/>
              <w:rPr>
                <w:rFonts w:ascii="Arial" w:hAnsi="Arial" w:cs="Arial"/>
              </w:rPr>
            </w:pPr>
            <w:bookmarkStart w:id="0" w:name="Par7"/>
            <w:bookmarkEnd w:id="0"/>
            <w:r w:rsidRPr="00786406">
              <w:rPr>
                <w:rFonts w:ascii="Arial" w:hAnsi="Arial" w:cs="Arial"/>
              </w:rP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по формулам:</w:t>
            </w:r>
          </w:p>
          <w:p w:rsidR="00786406" w:rsidRPr="00236B0A" w:rsidRDefault="00236B0A" w:rsidP="00236B0A">
            <w:pPr>
              <w:autoSpaceDE w:val="0"/>
              <w:autoSpaceDN w:val="0"/>
              <w:adjustRightInd w:val="0"/>
              <w:ind w:firstLine="734"/>
              <w:jc w:val="both"/>
              <w:rPr>
                <w:rFonts w:ascii="Arial" w:hAnsi="Arial" w:cs="Arial"/>
                <w:u w:val="single"/>
              </w:rPr>
            </w:pPr>
            <w:r>
              <w:rPr>
                <w:rFonts w:ascii="Arial" w:hAnsi="Arial" w:cs="Arial"/>
                <w:u w:val="single"/>
              </w:rPr>
              <w:t>для однофазного ввода:</w:t>
            </w:r>
          </w:p>
          <w:p w:rsidR="00786406" w:rsidRPr="00786406" w:rsidRDefault="00786406" w:rsidP="00236B0A">
            <w:pPr>
              <w:autoSpaceDE w:val="0"/>
              <w:autoSpaceDN w:val="0"/>
              <w:adjustRightInd w:val="0"/>
              <w:jc w:val="center"/>
              <w:rPr>
                <w:rFonts w:ascii="Arial" w:hAnsi="Arial" w:cs="Arial"/>
              </w:rPr>
            </w:pPr>
            <w:r w:rsidRPr="00786406">
              <w:rPr>
                <w:rFonts w:ascii="Arial" w:hAnsi="Arial" w:cs="Arial"/>
                <w:noProof/>
                <w:position w:val="-23"/>
                <w:lang w:eastAsia="ru-RU"/>
              </w:rPr>
              <w:drawing>
                <wp:inline distT="0" distB="0" distL="0" distR="0">
                  <wp:extent cx="1688465" cy="420370"/>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8465" cy="420370"/>
                          </a:xfrm>
                          <a:prstGeom prst="rect">
                            <a:avLst/>
                          </a:prstGeom>
                          <a:noFill/>
                          <a:ln>
                            <a:noFill/>
                          </a:ln>
                        </pic:spPr>
                      </pic:pic>
                    </a:graphicData>
                  </a:graphic>
                </wp:inline>
              </w:drawing>
            </w:r>
            <w:r w:rsidR="00236B0A">
              <w:rPr>
                <w:rFonts w:ascii="Arial" w:hAnsi="Arial" w:cs="Arial"/>
              </w:rPr>
              <w:t>,</w:t>
            </w:r>
          </w:p>
          <w:p w:rsidR="00786406" w:rsidRPr="00236B0A" w:rsidRDefault="00786406" w:rsidP="00786406">
            <w:pPr>
              <w:autoSpaceDE w:val="0"/>
              <w:autoSpaceDN w:val="0"/>
              <w:adjustRightInd w:val="0"/>
              <w:ind w:firstLine="734"/>
              <w:jc w:val="both"/>
              <w:rPr>
                <w:rFonts w:ascii="Arial" w:hAnsi="Arial" w:cs="Arial"/>
                <w:u w:val="single"/>
              </w:rPr>
            </w:pPr>
            <w:r w:rsidRPr="00236B0A">
              <w:rPr>
                <w:rFonts w:ascii="Arial" w:hAnsi="Arial" w:cs="Arial"/>
                <w:u w:val="single"/>
              </w:rPr>
              <w:t>для трехфазного ввода:</w:t>
            </w:r>
          </w:p>
          <w:p w:rsidR="00786406" w:rsidRPr="00786406" w:rsidRDefault="00786406" w:rsidP="00786406">
            <w:pPr>
              <w:autoSpaceDE w:val="0"/>
              <w:autoSpaceDN w:val="0"/>
              <w:adjustRightInd w:val="0"/>
              <w:ind w:firstLine="734"/>
              <w:jc w:val="both"/>
              <w:rPr>
                <w:rFonts w:ascii="Arial" w:hAnsi="Arial" w:cs="Arial"/>
              </w:rPr>
            </w:pPr>
          </w:p>
          <w:p w:rsidR="00786406" w:rsidRPr="00786406" w:rsidRDefault="00786406" w:rsidP="00236B0A">
            <w:pPr>
              <w:autoSpaceDE w:val="0"/>
              <w:autoSpaceDN w:val="0"/>
              <w:adjustRightInd w:val="0"/>
              <w:jc w:val="center"/>
              <w:rPr>
                <w:rFonts w:ascii="Arial" w:hAnsi="Arial" w:cs="Arial"/>
              </w:rPr>
            </w:pPr>
            <w:r w:rsidRPr="00786406">
              <w:rPr>
                <w:rFonts w:ascii="Arial" w:hAnsi="Arial" w:cs="Arial"/>
                <w:noProof/>
                <w:position w:val="-23"/>
                <w:lang w:eastAsia="ru-RU"/>
              </w:rPr>
              <w:drawing>
                <wp:inline distT="0" distB="0" distL="0" distR="0">
                  <wp:extent cx="1828800" cy="4203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420370"/>
                          </a:xfrm>
                          <a:prstGeom prst="rect">
                            <a:avLst/>
                          </a:prstGeom>
                          <a:noFill/>
                          <a:ln>
                            <a:noFill/>
                          </a:ln>
                        </pic:spPr>
                      </pic:pic>
                    </a:graphicData>
                  </a:graphic>
                </wp:inline>
              </w:drawing>
            </w:r>
            <w:r w:rsidRPr="00786406">
              <w:rPr>
                <w:rFonts w:ascii="Arial" w:hAnsi="Arial" w:cs="Arial"/>
              </w:rPr>
              <w:t>,</w:t>
            </w:r>
          </w:p>
          <w:p w:rsidR="00786406" w:rsidRPr="00236B0A" w:rsidRDefault="00786406" w:rsidP="00786406">
            <w:pPr>
              <w:autoSpaceDE w:val="0"/>
              <w:autoSpaceDN w:val="0"/>
              <w:adjustRightInd w:val="0"/>
              <w:ind w:firstLine="734"/>
              <w:jc w:val="both"/>
              <w:rPr>
                <w:rFonts w:ascii="Arial" w:hAnsi="Arial" w:cs="Arial"/>
                <w:sz w:val="20"/>
                <w:szCs w:val="20"/>
              </w:rPr>
            </w:pPr>
            <w:r w:rsidRPr="00236B0A">
              <w:rPr>
                <w:rFonts w:ascii="Arial" w:hAnsi="Arial" w:cs="Arial"/>
                <w:sz w:val="20"/>
                <w:szCs w:val="20"/>
              </w:rPr>
              <w:t>где:</w:t>
            </w:r>
          </w:p>
          <w:p w:rsidR="00786406" w:rsidRPr="00236B0A" w:rsidRDefault="00786406" w:rsidP="00786406">
            <w:pPr>
              <w:autoSpaceDE w:val="0"/>
              <w:autoSpaceDN w:val="0"/>
              <w:adjustRightInd w:val="0"/>
              <w:ind w:firstLine="734"/>
              <w:jc w:val="both"/>
              <w:rPr>
                <w:rFonts w:ascii="Arial" w:hAnsi="Arial" w:cs="Arial"/>
                <w:sz w:val="20"/>
                <w:szCs w:val="20"/>
              </w:rPr>
            </w:pPr>
            <w:r w:rsidRPr="00236B0A">
              <w:rPr>
                <w:rFonts w:ascii="Arial" w:hAnsi="Arial" w:cs="Arial"/>
                <w:sz w:val="20"/>
                <w:szCs w:val="20"/>
              </w:rPr>
              <w:t>I</w:t>
            </w:r>
            <w:r w:rsidRPr="00236B0A">
              <w:rPr>
                <w:rFonts w:ascii="Arial" w:hAnsi="Arial" w:cs="Arial"/>
                <w:sz w:val="20"/>
                <w:szCs w:val="20"/>
                <w:vertAlign w:val="subscript"/>
              </w:rPr>
              <w:t>доп.дл.</w:t>
            </w:r>
            <w:r w:rsidRPr="00236B0A">
              <w:rPr>
                <w:rFonts w:ascii="Arial" w:hAnsi="Arial" w:cs="Arial"/>
                <w:sz w:val="20"/>
                <w:szCs w:val="20"/>
              </w:rPr>
              <w:t xml:space="preserve"> - допустимая длительная токовая нагрузка вводного провода (кабеля), А;</w:t>
            </w:r>
          </w:p>
          <w:p w:rsidR="00786406" w:rsidRPr="00236B0A" w:rsidRDefault="00786406" w:rsidP="00786406">
            <w:pPr>
              <w:autoSpaceDE w:val="0"/>
              <w:autoSpaceDN w:val="0"/>
              <w:adjustRightInd w:val="0"/>
              <w:ind w:firstLine="734"/>
              <w:jc w:val="both"/>
              <w:rPr>
                <w:rFonts w:ascii="Arial" w:hAnsi="Arial" w:cs="Arial"/>
                <w:sz w:val="20"/>
                <w:szCs w:val="20"/>
              </w:rPr>
            </w:pPr>
            <w:r w:rsidRPr="00236B0A">
              <w:rPr>
                <w:rFonts w:ascii="Arial" w:hAnsi="Arial" w:cs="Arial"/>
                <w:sz w:val="20"/>
                <w:szCs w:val="20"/>
              </w:rPr>
              <w:t>U</w:t>
            </w:r>
            <w:r w:rsidRPr="00236B0A">
              <w:rPr>
                <w:rFonts w:ascii="Arial" w:hAnsi="Arial" w:cs="Arial"/>
                <w:sz w:val="20"/>
                <w:szCs w:val="20"/>
                <w:vertAlign w:val="subscript"/>
              </w:rPr>
              <w:t>ф.ном.</w:t>
            </w:r>
            <w:r w:rsidRPr="00236B0A">
              <w:rPr>
                <w:rFonts w:ascii="Arial" w:hAnsi="Arial" w:cs="Arial"/>
                <w:sz w:val="20"/>
                <w:szCs w:val="20"/>
              </w:rPr>
              <w:t xml:space="preserve"> - номинальное фазное напряжение, кВ;</w:t>
            </w:r>
          </w:p>
          <w:p w:rsidR="00786406" w:rsidRPr="00C40CFF" w:rsidRDefault="00786406" w:rsidP="00236B0A">
            <w:pPr>
              <w:autoSpaceDE w:val="0"/>
              <w:autoSpaceDN w:val="0"/>
              <w:adjustRightInd w:val="0"/>
              <w:ind w:firstLine="734"/>
              <w:jc w:val="both"/>
              <w:rPr>
                <w:rFonts w:ascii="Arial" w:hAnsi="Arial" w:cs="Arial"/>
                <w:sz w:val="20"/>
                <w:szCs w:val="20"/>
              </w:rPr>
            </w:pPr>
            <w:r w:rsidRPr="00236B0A">
              <w:rPr>
                <w:rFonts w:ascii="Arial" w:hAnsi="Arial" w:cs="Arial"/>
                <w:noProof/>
                <w:position w:val="-2"/>
                <w:sz w:val="20"/>
                <w:szCs w:val="20"/>
                <w:lang w:eastAsia="ru-RU"/>
              </w:rPr>
              <w:drawing>
                <wp:inline distT="0" distB="0" distL="0" distR="0">
                  <wp:extent cx="370840" cy="1562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0840" cy="156210"/>
                          </a:xfrm>
                          <a:prstGeom prst="rect">
                            <a:avLst/>
                          </a:prstGeom>
                          <a:noFill/>
                          <a:ln>
                            <a:noFill/>
                          </a:ln>
                        </pic:spPr>
                      </pic:pic>
                    </a:graphicData>
                  </a:graphic>
                </wp:inline>
              </w:drawing>
            </w:r>
            <w:r w:rsidRPr="00236B0A">
              <w:rPr>
                <w:rFonts w:ascii="Arial" w:hAnsi="Arial" w:cs="Arial"/>
                <w:sz w:val="20"/>
                <w:szCs w:val="20"/>
              </w:rPr>
              <w:t xml:space="preserve"> - коэффициент мощности при максимуме нагрузки. При отсутствии данных в договоре коэ</w:t>
            </w:r>
            <w:r w:rsidR="00236B0A">
              <w:rPr>
                <w:rFonts w:ascii="Arial" w:hAnsi="Arial" w:cs="Arial"/>
                <w:sz w:val="20"/>
                <w:szCs w:val="20"/>
              </w:rPr>
              <w:t>ффициент принимается равным 0,9.</w:t>
            </w:r>
          </w:p>
        </w:tc>
      </w:tr>
    </w:tbl>
    <w:p w:rsidR="00C40CFF" w:rsidRDefault="00C40CFF" w:rsidP="00236B0A">
      <w:pPr>
        <w:spacing w:after="0" w:line="240" w:lineRule="auto"/>
        <w:ind w:firstLine="709"/>
        <w:jc w:val="both"/>
        <w:rPr>
          <w:rFonts w:ascii="Arial" w:hAnsi="Arial" w:cs="Arial"/>
        </w:rPr>
      </w:pPr>
    </w:p>
    <w:tbl>
      <w:tblPr>
        <w:tblStyle w:val="a3"/>
        <w:tblW w:w="0" w:type="auto"/>
        <w:tblLook w:val="04A0" w:firstRow="1" w:lastRow="0" w:firstColumn="1" w:lastColumn="0" w:noHBand="0" w:noVBand="1"/>
      </w:tblPr>
      <w:tblGrid>
        <w:gridCol w:w="9344"/>
      </w:tblGrid>
      <w:tr w:rsidR="00236B0A" w:rsidTr="00236B0A">
        <w:tc>
          <w:tcPr>
            <w:tcW w:w="9344" w:type="dxa"/>
          </w:tcPr>
          <w:p w:rsidR="00236B0A" w:rsidRPr="00236B0A" w:rsidRDefault="00236B0A" w:rsidP="00236B0A">
            <w:pPr>
              <w:ind w:firstLine="709"/>
              <w:jc w:val="both"/>
              <w:rPr>
                <w:rFonts w:ascii="Arial" w:hAnsi="Arial" w:cs="Arial"/>
                <w:b/>
                <w:i/>
                <w:u w:val="single"/>
              </w:rPr>
            </w:pPr>
            <w:r w:rsidRPr="00236B0A">
              <w:rPr>
                <w:rFonts w:ascii="Arial" w:hAnsi="Arial" w:cs="Arial"/>
                <w:b/>
                <w:i/>
                <w:u w:val="single"/>
              </w:rPr>
              <w:t>Расчет «Б»</w:t>
            </w:r>
          </w:p>
          <w:p w:rsidR="00236B0A" w:rsidRDefault="00236B0A" w:rsidP="00236B0A">
            <w:pPr>
              <w:autoSpaceDE w:val="0"/>
              <w:autoSpaceDN w:val="0"/>
              <w:adjustRightInd w:val="0"/>
              <w:ind w:firstLine="709"/>
              <w:jc w:val="both"/>
              <w:rPr>
                <w:rFonts w:ascii="Arial" w:hAnsi="Arial" w:cs="Arial"/>
              </w:rPr>
            </w:pPr>
            <w:r>
              <w:rPr>
                <w:rFonts w:ascii="Arial" w:hAnsi="Arial" w:cs="Arial"/>
              </w:rPr>
              <w:t>Почасовые объемы потребления электрической энергии в соответствующей точке поставки, МВт</w:t>
            </w:r>
            <w:r>
              <w:rPr>
                <w:rFonts w:ascii="Arial" w:hAnsi="Arial" w:cs="Arial"/>
                <w:noProof/>
                <w:position w:val="1"/>
                <w:lang w:eastAsia="ru-RU"/>
              </w:rPr>
              <w:t>*</w:t>
            </w:r>
            <w:r>
              <w:rPr>
                <w:rFonts w:ascii="Arial" w:hAnsi="Arial" w:cs="Arial"/>
              </w:rPr>
              <w:t>ч, определяются по формуле:</w:t>
            </w:r>
          </w:p>
          <w:p w:rsidR="00236B0A" w:rsidRPr="00236B0A" w:rsidRDefault="00236B0A" w:rsidP="00236B0A">
            <w:pPr>
              <w:autoSpaceDE w:val="0"/>
              <w:autoSpaceDN w:val="0"/>
              <w:adjustRightInd w:val="0"/>
              <w:jc w:val="center"/>
              <w:rPr>
                <w:rFonts w:ascii="Arial" w:hAnsi="Arial" w:cs="Arial"/>
              </w:rPr>
            </w:pPr>
            <w:r w:rsidRPr="00236B0A">
              <w:rPr>
                <w:rFonts w:ascii="Arial" w:hAnsi="Arial" w:cs="Arial"/>
                <w:noProof/>
                <w:position w:val="-22"/>
                <w:lang w:eastAsia="ru-RU"/>
              </w:rPr>
              <w:drawing>
                <wp:inline distT="0" distB="0" distL="0" distR="0">
                  <wp:extent cx="626110" cy="428625"/>
                  <wp:effectExtent l="0" t="0" r="254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6110" cy="428625"/>
                          </a:xfrm>
                          <a:prstGeom prst="rect">
                            <a:avLst/>
                          </a:prstGeom>
                          <a:noFill/>
                          <a:ln>
                            <a:noFill/>
                          </a:ln>
                        </pic:spPr>
                      </pic:pic>
                    </a:graphicData>
                  </a:graphic>
                </wp:inline>
              </w:drawing>
            </w:r>
            <w:r w:rsidRPr="00236B0A">
              <w:rPr>
                <w:rFonts w:ascii="Arial" w:hAnsi="Arial" w:cs="Arial"/>
              </w:rPr>
              <w:t>,</w:t>
            </w:r>
          </w:p>
          <w:p w:rsidR="00236B0A" w:rsidRPr="00236B0A" w:rsidRDefault="00236B0A" w:rsidP="00236B0A">
            <w:pPr>
              <w:autoSpaceDE w:val="0"/>
              <w:autoSpaceDN w:val="0"/>
              <w:adjustRightInd w:val="0"/>
              <w:ind w:firstLine="709"/>
              <w:jc w:val="both"/>
              <w:rPr>
                <w:rFonts w:ascii="Arial" w:hAnsi="Arial" w:cs="Arial"/>
                <w:sz w:val="20"/>
                <w:szCs w:val="20"/>
              </w:rPr>
            </w:pPr>
            <w:r w:rsidRPr="00236B0A">
              <w:rPr>
                <w:rFonts w:ascii="Arial" w:hAnsi="Arial" w:cs="Arial"/>
                <w:sz w:val="20"/>
                <w:szCs w:val="20"/>
              </w:rPr>
              <w:t xml:space="preserve">где W - объем потребления электрической энергии в соответствующей точке поставки, определенный в соответствии с </w:t>
            </w:r>
            <w:hyperlink r:id="rId14" w:history="1">
              <w:r w:rsidRPr="00236B0A">
                <w:rPr>
                  <w:rFonts w:ascii="Arial" w:hAnsi="Arial" w:cs="Arial"/>
                  <w:sz w:val="20"/>
                  <w:szCs w:val="20"/>
                </w:rPr>
                <w:t>подпунктом «а»</w:t>
              </w:r>
            </w:hyperlink>
            <w:r w:rsidRPr="00236B0A">
              <w:rPr>
                <w:rFonts w:ascii="Arial" w:hAnsi="Arial" w:cs="Arial"/>
                <w:sz w:val="20"/>
                <w:szCs w:val="20"/>
              </w:rPr>
              <w:t xml:space="preserve"> приложения </w:t>
            </w:r>
            <w:r>
              <w:rPr>
                <w:rFonts w:ascii="Arial" w:hAnsi="Arial" w:cs="Arial"/>
                <w:sz w:val="20"/>
                <w:szCs w:val="20"/>
              </w:rPr>
              <w:t>№ 3 (</w:t>
            </w:r>
            <w:r w:rsidRPr="00236B0A">
              <w:rPr>
                <w:rFonts w:ascii="Arial" w:hAnsi="Arial" w:cs="Arial"/>
                <w:b/>
                <w:i/>
                <w:sz w:val="20"/>
                <w:szCs w:val="20"/>
              </w:rPr>
              <w:t>расчет «А»</w:t>
            </w:r>
            <w:r>
              <w:rPr>
                <w:rFonts w:ascii="Arial" w:hAnsi="Arial" w:cs="Arial"/>
                <w:sz w:val="20"/>
                <w:szCs w:val="20"/>
              </w:rPr>
              <w:t>), МВт*</w:t>
            </w:r>
            <w:r w:rsidRPr="00236B0A">
              <w:rPr>
                <w:rFonts w:ascii="Arial" w:hAnsi="Arial" w:cs="Arial"/>
                <w:sz w:val="20"/>
                <w:szCs w:val="20"/>
              </w:rPr>
              <w:t>ч.</w:t>
            </w:r>
          </w:p>
        </w:tc>
      </w:tr>
    </w:tbl>
    <w:p w:rsidR="00236B0A" w:rsidRDefault="00236B0A" w:rsidP="00786406">
      <w:pPr>
        <w:spacing w:after="0" w:line="240" w:lineRule="auto"/>
        <w:jc w:val="both"/>
        <w:rPr>
          <w:rFonts w:ascii="Arial" w:hAnsi="Arial" w:cs="Arial"/>
        </w:rPr>
      </w:pPr>
    </w:p>
    <w:p w:rsidR="0034474F" w:rsidRPr="0034474F" w:rsidRDefault="0034474F" w:rsidP="0034474F">
      <w:pPr>
        <w:spacing w:after="0" w:line="240" w:lineRule="auto"/>
        <w:ind w:firstLine="709"/>
        <w:jc w:val="both"/>
        <w:rPr>
          <w:rFonts w:ascii="Arial" w:hAnsi="Arial" w:cs="Arial"/>
          <w:i/>
        </w:rPr>
      </w:pPr>
      <w:r>
        <w:rPr>
          <w:rFonts w:ascii="Arial" w:hAnsi="Arial" w:cs="Arial"/>
        </w:rPr>
        <w:t xml:space="preserve">В отсутствие приборов учета у потребителей, максимальная мощность энергопринимающих устройств которых в соответствии с документами о технологическом присоединении менее 5 кВт,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w:t>
      </w:r>
      <w:r w:rsidRPr="0034474F">
        <w:rPr>
          <w:rFonts w:ascii="Arial" w:hAnsi="Arial" w:cs="Arial"/>
          <w:i/>
        </w:rPr>
        <w:t>(пункт 185 Основных положений № 442).</w:t>
      </w:r>
    </w:p>
    <w:p w:rsidR="00682553" w:rsidRDefault="00682553" w:rsidP="00786406">
      <w:pPr>
        <w:spacing w:after="0" w:line="240" w:lineRule="auto"/>
        <w:jc w:val="both"/>
        <w:rPr>
          <w:rFonts w:ascii="Arial" w:hAnsi="Arial" w:cs="Arial"/>
          <w:i/>
        </w:rPr>
      </w:pPr>
    </w:p>
    <w:p w:rsidR="0034474F" w:rsidRDefault="0034474F" w:rsidP="00786406">
      <w:pPr>
        <w:spacing w:after="0" w:line="240" w:lineRule="auto"/>
        <w:jc w:val="both"/>
        <w:rPr>
          <w:rFonts w:ascii="Arial" w:hAnsi="Arial" w:cs="Arial"/>
          <w:i/>
        </w:rPr>
      </w:pPr>
    </w:p>
    <w:p w:rsidR="0034474F" w:rsidRDefault="0034474F" w:rsidP="00786406">
      <w:pPr>
        <w:spacing w:after="0" w:line="240" w:lineRule="auto"/>
        <w:jc w:val="both"/>
        <w:rPr>
          <w:rFonts w:ascii="Arial" w:hAnsi="Arial" w:cs="Arial"/>
        </w:rPr>
      </w:pPr>
    </w:p>
    <w:p w:rsidR="00682553" w:rsidRDefault="00682553" w:rsidP="00682553">
      <w:pPr>
        <w:spacing w:after="0" w:line="240" w:lineRule="auto"/>
        <w:jc w:val="center"/>
        <w:rPr>
          <w:rFonts w:ascii="Arial" w:hAnsi="Arial" w:cs="Arial"/>
          <w:b/>
        </w:rPr>
      </w:pPr>
      <w:r w:rsidRPr="00682553">
        <w:rPr>
          <w:rFonts w:ascii="Arial" w:hAnsi="Arial" w:cs="Arial"/>
          <w:b/>
        </w:rPr>
        <w:t>Порядок расчета при непредставлении показаний расчетного прибора учета</w:t>
      </w:r>
    </w:p>
    <w:p w:rsidR="003A0E05" w:rsidRDefault="00662CA9" w:rsidP="00682553">
      <w:pPr>
        <w:spacing w:after="0" w:line="240" w:lineRule="auto"/>
        <w:jc w:val="center"/>
        <w:rPr>
          <w:rFonts w:ascii="Arial" w:hAnsi="Arial" w:cs="Arial"/>
          <w:sz w:val="20"/>
          <w:szCs w:val="20"/>
        </w:rPr>
      </w:pPr>
      <w:r w:rsidRPr="00662CA9">
        <w:rPr>
          <w:rFonts w:ascii="Arial" w:hAnsi="Arial" w:cs="Arial"/>
          <w:sz w:val="20"/>
          <w:szCs w:val="20"/>
        </w:rPr>
        <w:t>(пункт</w:t>
      </w:r>
      <w:r w:rsidR="0081089A">
        <w:rPr>
          <w:rFonts w:ascii="Arial" w:hAnsi="Arial" w:cs="Arial"/>
          <w:sz w:val="20"/>
          <w:szCs w:val="20"/>
        </w:rPr>
        <w:t>ы</w:t>
      </w:r>
      <w:r w:rsidRPr="00662CA9">
        <w:rPr>
          <w:rFonts w:ascii="Arial" w:hAnsi="Arial" w:cs="Arial"/>
          <w:sz w:val="20"/>
          <w:szCs w:val="20"/>
        </w:rPr>
        <w:t xml:space="preserve"> 164</w:t>
      </w:r>
      <w:r>
        <w:rPr>
          <w:rFonts w:ascii="Arial" w:hAnsi="Arial" w:cs="Arial"/>
          <w:sz w:val="20"/>
          <w:szCs w:val="20"/>
        </w:rPr>
        <w:t xml:space="preserve">, 179, </w:t>
      </w:r>
      <w:r w:rsidR="0081089A">
        <w:rPr>
          <w:rFonts w:ascii="Arial" w:hAnsi="Arial" w:cs="Arial"/>
          <w:sz w:val="20"/>
          <w:szCs w:val="20"/>
        </w:rPr>
        <w:t xml:space="preserve">180, </w:t>
      </w:r>
      <w:r>
        <w:rPr>
          <w:rFonts w:ascii="Arial" w:hAnsi="Arial" w:cs="Arial"/>
          <w:sz w:val="20"/>
          <w:szCs w:val="20"/>
        </w:rPr>
        <w:t>181 Основных положений № 442)</w:t>
      </w:r>
    </w:p>
    <w:p w:rsidR="00662CA9" w:rsidRPr="00662CA9" w:rsidRDefault="00662CA9" w:rsidP="00682553">
      <w:pPr>
        <w:spacing w:after="0" w:line="240" w:lineRule="auto"/>
        <w:jc w:val="center"/>
        <w:rPr>
          <w:rFonts w:ascii="Arial" w:hAnsi="Arial" w:cs="Arial"/>
          <w:sz w:val="20"/>
          <w:szCs w:val="20"/>
        </w:rPr>
      </w:pPr>
    </w:p>
    <w:p w:rsidR="003A0E05" w:rsidRPr="00662CA9" w:rsidRDefault="003A0E05" w:rsidP="00662CA9">
      <w:pPr>
        <w:autoSpaceDE w:val="0"/>
        <w:autoSpaceDN w:val="0"/>
        <w:adjustRightInd w:val="0"/>
        <w:spacing w:after="0" w:line="240" w:lineRule="auto"/>
        <w:ind w:firstLine="709"/>
        <w:jc w:val="both"/>
        <w:rPr>
          <w:rFonts w:ascii="Arial" w:hAnsi="Arial" w:cs="Arial"/>
          <w:bCs/>
        </w:rPr>
      </w:pPr>
      <w:r w:rsidRPr="00662CA9">
        <w:rPr>
          <w:rFonts w:ascii="Arial" w:hAnsi="Arial" w:cs="Arial"/>
          <w:bCs/>
        </w:rPr>
        <w:t xml:space="preserve">В случае непредставления показаний лицом, ответственным за снятие показаний расчетного прибора учета в сроки, установленные </w:t>
      </w:r>
      <w:r w:rsidR="00EE4B9A">
        <w:rPr>
          <w:rFonts w:ascii="Arial" w:hAnsi="Arial" w:cs="Arial"/>
          <w:bCs/>
        </w:rPr>
        <w:t>Основными положениями</w:t>
      </w:r>
      <w:r w:rsidR="00662CA9">
        <w:rPr>
          <w:rFonts w:ascii="Arial" w:hAnsi="Arial" w:cs="Arial"/>
          <w:bCs/>
        </w:rPr>
        <w:t xml:space="preserve"> № 442</w:t>
      </w:r>
      <w:r w:rsidRPr="00662CA9">
        <w:rPr>
          <w:rFonts w:ascii="Arial" w:hAnsi="Arial" w:cs="Arial"/>
          <w:bCs/>
        </w:rPr>
        <w:t xml:space="preserve"> или договоре</w:t>
      </w:r>
      <w:r w:rsidR="00EE4B9A">
        <w:rPr>
          <w:rFonts w:ascii="Arial" w:hAnsi="Arial" w:cs="Arial"/>
          <w:bCs/>
        </w:rPr>
        <w:t>,</w:t>
      </w:r>
      <w:r w:rsidRPr="00662CA9">
        <w:rPr>
          <w:rFonts w:ascii="Arial" w:hAnsi="Arial" w:cs="Arial"/>
          <w:bCs/>
        </w:rPr>
        <w:t xml:space="preserve"> для целей определения объема потребления электрической энергии (мощности) и объема производства электрической энергии (мощности) за расчетный период при наличии в соответствующем договоре контрольного прибора учета используются показания такого контрольного прибора учета.</w:t>
      </w:r>
    </w:p>
    <w:p w:rsidR="003A0E05" w:rsidRPr="00662CA9" w:rsidRDefault="003A0E05" w:rsidP="00662CA9">
      <w:pPr>
        <w:autoSpaceDE w:val="0"/>
        <w:autoSpaceDN w:val="0"/>
        <w:adjustRightInd w:val="0"/>
        <w:spacing w:after="0" w:line="240" w:lineRule="auto"/>
        <w:ind w:firstLine="709"/>
        <w:jc w:val="both"/>
        <w:rPr>
          <w:rFonts w:ascii="Arial" w:hAnsi="Arial" w:cs="Arial"/>
          <w:bCs/>
        </w:rPr>
      </w:pPr>
      <w:r w:rsidRPr="00662CA9">
        <w:rPr>
          <w:rFonts w:ascii="Arial" w:hAnsi="Arial" w:cs="Arial"/>
          <w:bCs/>
        </w:rP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в том случае, если контрольный прибор учета позволяет измерять объемы потребления электрической энергии по зонам суток.</w:t>
      </w:r>
    </w:p>
    <w:p w:rsidR="003A0E05" w:rsidRPr="00662CA9" w:rsidRDefault="003A0E05" w:rsidP="00662CA9">
      <w:pPr>
        <w:autoSpaceDE w:val="0"/>
        <w:autoSpaceDN w:val="0"/>
        <w:adjustRightInd w:val="0"/>
        <w:spacing w:after="0" w:line="240" w:lineRule="auto"/>
        <w:ind w:firstLine="709"/>
        <w:jc w:val="both"/>
        <w:rPr>
          <w:rFonts w:ascii="Arial" w:hAnsi="Arial" w:cs="Arial"/>
          <w:bCs/>
        </w:rPr>
      </w:pPr>
      <w:r w:rsidRPr="00662CA9">
        <w:rPr>
          <w:rFonts w:ascii="Arial" w:hAnsi="Arial" w:cs="Arial"/>
          <w:bCs/>
        </w:rP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часам суток, в том случае, если контрольный прибор учета позволяет измерять объемы потребления электрической энергии по часам суток</w:t>
      </w:r>
      <w:r w:rsidR="00F5399C">
        <w:rPr>
          <w:rFonts w:ascii="Arial" w:hAnsi="Arial" w:cs="Arial"/>
          <w:bCs/>
        </w:rPr>
        <w:t xml:space="preserve"> </w:t>
      </w:r>
      <w:r w:rsidR="00F5399C" w:rsidRPr="00F5399C">
        <w:rPr>
          <w:rFonts w:ascii="Arial" w:hAnsi="Arial" w:cs="Arial"/>
          <w:bCs/>
          <w:i/>
        </w:rPr>
        <w:t>(пункт 164 Основных положений № 442)</w:t>
      </w:r>
      <w:r w:rsidRPr="00F5399C">
        <w:rPr>
          <w:rFonts w:ascii="Arial" w:hAnsi="Arial" w:cs="Arial"/>
          <w:bCs/>
          <w:i/>
        </w:rPr>
        <w:t>.</w:t>
      </w:r>
    </w:p>
    <w:p w:rsidR="003A0E05" w:rsidRPr="00662CA9" w:rsidRDefault="003A0E05" w:rsidP="00662CA9">
      <w:pPr>
        <w:autoSpaceDE w:val="0"/>
        <w:autoSpaceDN w:val="0"/>
        <w:adjustRightInd w:val="0"/>
        <w:spacing w:after="0" w:line="240" w:lineRule="auto"/>
        <w:ind w:firstLine="709"/>
        <w:jc w:val="both"/>
        <w:rPr>
          <w:rFonts w:ascii="Arial" w:hAnsi="Arial" w:cs="Arial"/>
          <w:bCs/>
        </w:rPr>
      </w:pPr>
    </w:p>
    <w:p w:rsidR="00662CA9" w:rsidRDefault="003A0E05" w:rsidP="00662CA9">
      <w:pPr>
        <w:autoSpaceDE w:val="0"/>
        <w:autoSpaceDN w:val="0"/>
        <w:adjustRightInd w:val="0"/>
        <w:spacing w:after="0" w:line="240" w:lineRule="auto"/>
        <w:ind w:firstLine="709"/>
        <w:jc w:val="both"/>
        <w:rPr>
          <w:rFonts w:ascii="Arial" w:hAnsi="Arial" w:cs="Arial"/>
          <w:bCs/>
        </w:rPr>
      </w:pPr>
      <w:r w:rsidRPr="00662CA9">
        <w:rPr>
          <w:rFonts w:ascii="Arial" w:hAnsi="Arial" w:cs="Arial"/>
          <w:bCs/>
        </w:rPr>
        <w:t xml:space="preserve">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w:t>
      </w:r>
      <w:r w:rsidR="00662CA9">
        <w:rPr>
          <w:rFonts w:ascii="Arial" w:hAnsi="Arial" w:cs="Arial"/>
          <w:bCs/>
        </w:rPr>
        <w:t>основании замещающей информации</w:t>
      </w:r>
      <w:r w:rsidR="00F5399C">
        <w:rPr>
          <w:rFonts w:ascii="Arial" w:hAnsi="Arial" w:cs="Arial"/>
          <w:bCs/>
        </w:rPr>
        <w:t xml:space="preserve"> </w:t>
      </w:r>
      <w:r w:rsidR="00F5399C" w:rsidRPr="00F5399C">
        <w:rPr>
          <w:rFonts w:ascii="Arial" w:hAnsi="Arial" w:cs="Arial"/>
          <w:bCs/>
          <w:i/>
        </w:rPr>
        <w:t>(пункт 179 Основных положений № 442).</w:t>
      </w:r>
    </w:p>
    <w:p w:rsidR="0081089A" w:rsidRDefault="0081089A" w:rsidP="00662CA9">
      <w:pPr>
        <w:autoSpaceDE w:val="0"/>
        <w:autoSpaceDN w:val="0"/>
        <w:adjustRightInd w:val="0"/>
        <w:spacing w:after="0" w:line="240" w:lineRule="auto"/>
        <w:ind w:firstLine="709"/>
        <w:jc w:val="both"/>
        <w:rPr>
          <w:rFonts w:ascii="Arial" w:hAnsi="Arial" w:cs="Arial"/>
          <w:bCs/>
        </w:rPr>
      </w:pPr>
    </w:p>
    <w:p w:rsidR="003A0E05" w:rsidRPr="00662CA9" w:rsidRDefault="003A0E05" w:rsidP="00662CA9">
      <w:pPr>
        <w:autoSpaceDE w:val="0"/>
        <w:autoSpaceDN w:val="0"/>
        <w:adjustRightInd w:val="0"/>
        <w:spacing w:after="0" w:line="240" w:lineRule="auto"/>
        <w:ind w:firstLine="709"/>
        <w:jc w:val="both"/>
        <w:rPr>
          <w:rFonts w:ascii="Arial" w:hAnsi="Arial" w:cs="Arial"/>
          <w:bCs/>
        </w:rPr>
      </w:pPr>
      <w:r w:rsidRPr="00662CA9">
        <w:rPr>
          <w:rFonts w:ascii="Arial" w:hAnsi="Arial" w:cs="Arial"/>
          <w:bCs/>
        </w:rPr>
        <w:t xml:space="preserve">В случаях непредставления показаний расчетного прибора учета в установленные сроки, используемого для определения объема производства электрической энергии (мощности) на розничном рынке, и при этом отсутствия контрольного прибора учета объем </w:t>
      </w:r>
      <w:r w:rsidRPr="00662CA9">
        <w:rPr>
          <w:rFonts w:ascii="Arial" w:hAnsi="Arial" w:cs="Arial"/>
          <w:bCs/>
        </w:rPr>
        <w:lastRenderedPageBreak/>
        <w:t>производства электрической энергии (мощности) начиная с даты, когда наступили указанные события, определяется в следующем порядке:</w:t>
      </w:r>
    </w:p>
    <w:p w:rsidR="003A0E05" w:rsidRPr="00662CA9" w:rsidRDefault="003A0E05" w:rsidP="00662CA9">
      <w:pPr>
        <w:autoSpaceDE w:val="0"/>
        <w:autoSpaceDN w:val="0"/>
        <w:adjustRightInd w:val="0"/>
        <w:spacing w:after="0" w:line="240" w:lineRule="auto"/>
        <w:ind w:firstLine="709"/>
        <w:jc w:val="both"/>
        <w:rPr>
          <w:rFonts w:ascii="Arial" w:hAnsi="Arial" w:cs="Arial"/>
          <w:bCs/>
        </w:rPr>
      </w:pPr>
      <w:r w:rsidRPr="00662CA9">
        <w:rPr>
          <w:rFonts w:ascii="Arial" w:hAnsi="Arial" w:cs="Arial"/>
          <w:bCs/>
        </w:rPr>
        <w:t>если расчетный прибор учета установлен в границах объекта по производству электрической энергии (мощности) на розничном рынке и не присоединен к интеллектуальной системе учета электрической энергии (мощности) сетевой организации, то объем производства электрической энергии (мощности), в том числе почасовые объемы производства электрической энергии, считается равным нулю;</w:t>
      </w:r>
    </w:p>
    <w:p w:rsidR="003A0E05" w:rsidRPr="00F5399C" w:rsidRDefault="003A0E05" w:rsidP="00662CA9">
      <w:pPr>
        <w:autoSpaceDE w:val="0"/>
        <w:autoSpaceDN w:val="0"/>
        <w:adjustRightInd w:val="0"/>
        <w:spacing w:after="0" w:line="240" w:lineRule="auto"/>
        <w:ind w:firstLine="709"/>
        <w:jc w:val="both"/>
        <w:rPr>
          <w:rFonts w:ascii="Arial" w:hAnsi="Arial" w:cs="Arial"/>
          <w:bCs/>
          <w:i/>
        </w:rPr>
      </w:pPr>
      <w:r w:rsidRPr="00662CA9">
        <w:rPr>
          <w:rFonts w:ascii="Arial" w:hAnsi="Arial" w:cs="Arial"/>
          <w:bCs/>
        </w:rPr>
        <w:t>в иных случаях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r w:rsidR="00F5399C">
        <w:rPr>
          <w:rFonts w:ascii="Arial" w:hAnsi="Arial" w:cs="Arial"/>
          <w:bCs/>
        </w:rPr>
        <w:t xml:space="preserve"> </w:t>
      </w:r>
      <w:r w:rsidR="00F5399C" w:rsidRPr="00F5399C">
        <w:rPr>
          <w:rFonts w:ascii="Arial" w:hAnsi="Arial" w:cs="Arial"/>
          <w:bCs/>
          <w:i/>
        </w:rPr>
        <w:t>(пункт 180 Основных положений № 442).</w:t>
      </w:r>
    </w:p>
    <w:p w:rsidR="00662CA9" w:rsidRPr="00662CA9" w:rsidRDefault="00662CA9" w:rsidP="00662CA9">
      <w:pPr>
        <w:autoSpaceDE w:val="0"/>
        <w:autoSpaceDN w:val="0"/>
        <w:adjustRightInd w:val="0"/>
        <w:spacing w:after="0" w:line="240" w:lineRule="auto"/>
        <w:ind w:firstLine="709"/>
        <w:jc w:val="both"/>
        <w:rPr>
          <w:rFonts w:ascii="Arial" w:hAnsi="Arial" w:cs="Arial"/>
          <w:bCs/>
        </w:rPr>
      </w:pPr>
    </w:p>
    <w:p w:rsidR="003A0E05" w:rsidRPr="00662CA9" w:rsidRDefault="003A0E05" w:rsidP="00662CA9">
      <w:pPr>
        <w:autoSpaceDE w:val="0"/>
        <w:autoSpaceDN w:val="0"/>
        <w:adjustRightInd w:val="0"/>
        <w:spacing w:after="0" w:line="240" w:lineRule="auto"/>
        <w:ind w:firstLine="709"/>
        <w:jc w:val="both"/>
        <w:rPr>
          <w:rFonts w:ascii="Arial" w:hAnsi="Arial" w:cs="Arial"/>
          <w:bCs/>
        </w:rPr>
      </w:pPr>
      <w:r w:rsidRPr="00662CA9">
        <w:rPr>
          <w:rFonts w:ascii="Arial" w:hAnsi="Arial" w:cs="Arial"/>
          <w:bCs/>
        </w:rPr>
        <w:t>При непредставлении показаний расчетного прибора учета, установленного в границах объектов электросетевого хозяйства сетевой организации или включенного в интеллектуальную систему учета электрической энергии (мощности) сетевой организации, и при отсутствии контрольного прибора учета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образом:</w:t>
      </w:r>
    </w:p>
    <w:p w:rsidR="003A0E05" w:rsidRPr="00662CA9" w:rsidRDefault="003A0E05" w:rsidP="00662CA9">
      <w:pPr>
        <w:autoSpaceDE w:val="0"/>
        <w:autoSpaceDN w:val="0"/>
        <w:adjustRightInd w:val="0"/>
        <w:spacing w:after="0" w:line="240" w:lineRule="auto"/>
        <w:ind w:firstLine="709"/>
        <w:jc w:val="both"/>
        <w:rPr>
          <w:rFonts w:ascii="Arial" w:hAnsi="Arial" w:cs="Arial"/>
          <w:bCs/>
        </w:rPr>
      </w:pPr>
      <w:r w:rsidRPr="00662CA9">
        <w:rPr>
          <w:rFonts w:ascii="Arial" w:hAnsi="Arial" w:cs="Arial"/>
          <w:bCs/>
        </w:rPr>
        <w:t>объем электрической энергии, принятой в объекты электросетевого хозяйства сетевой организации, определяется исходя из максимальных среднесуточных значений за месяц, в котором было зафиксировано наибольшее поступление объема электрической энергии в сеть по соответствующей точке поставки за прошедший год;</w:t>
      </w:r>
    </w:p>
    <w:p w:rsidR="003A0E05" w:rsidRPr="00F5399C" w:rsidRDefault="003A0E05" w:rsidP="00662CA9">
      <w:pPr>
        <w:autoSpaceDE w:val="0"/>
        <w:autoSpaceDN w:val="0"/>
        <w:adjustRightInd w:val="0"/>
        <w:spacing w:after="0" w:line="240" w:lineRule="auto"/>
        <w:ind w:firstLine="709"/>
        <w:jc w:val="both"/>
        <w:rPr>
          <w:rFonts w:ascii="Arial" w:hAnsi="Arial" w:cs="Arial"/>
          <w:bCs/>
          <w:i/>
        </w:rPr>
      </w:pPr>
      <w:r w:rsidRPr="00662CA9">
        <w:rPr>
          <w:rFonts w:ascii="Arial" w:hAnsi="Arial" w:cs="Arial"/>
          <w:bCs/>
        </w:rP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электрической энергии из сети по соответствующей точке поставки за прошедший год</w:t>
      </w:r>
      <w:r w:rsidR="00F5399C">
        <w:rPr>
          <w:rFonts w:ascii="Arial" w:hAnsi="Arial" w:cs="Arial"/>
          <w:bCs/>
        </w:rPr>
        <w:t xml:space="preserve"> </w:t>
      </w:r>
      <w:r w:rsidR="00F5399C" w:rsidRPr="00F5399C">
        <w:rPr>
          <w:rFonts w:ascii="Arial" w:hAnsi="Arial" w:cs="Arial"/>
          <w:bCs/>
          <w:i/>
        </w:rPr>
        <w:t>(пункт 181 Основных положений № 442).</w:t>
      </w:r>
    </w:p>
    <w:p w:rsidR="003A0E05" w:rsidRDefault="003A0E05" w:rsidP="003A0E05">
      <w:pPr>
        <w:spacing w:after="0" w:line="240" w:lineRule="auto"/>
        <w:jc w:val="both"/>
        <w:rPr>
          <w:rFonts w:ascii="Arial" w:hAnsi="Arial" w:cs="Arial"/>
          <w:b/>
        </w:rPr>
      </w:pPr>
    </w:p>
    <w:p w:rsidR="00F5399C" w:rsidRDefault="00F5399C" w:rsidP="003A0E05">
      <w:pPr>
        <w:spacing w:after="0" w:line="240" w:lineRule="auto"/>
        <w:jc w:val="both"/>
        <w:rPr>
          <w:rFonts w:ascii="Arial" w:hAnsi="Arial" w:cs="Arial"/>
          <w:b/>
        </w:rPr>
      </w:pPr>
    </w:p>
    <w:p w:rsidR="00F5399C" w:rsidRDefault="00F5399C" w:rsidP="003A0E05">
      <w:pPr>
        <w:spacing w:after="0" w:line="240" w:lineRule="auto"/>
        <w:jc w:val="both"/>
        <w:rPr>
          <w:rFonts w:ascii="Arial" w:hAnsi="Arial" w:cs="Arial"/>
          <w:b/>
        </w:rPr>
      </w:pPr>
    </w:p>
    <w:p w:rsidR="00F5399C" w:rsidRDefault="00F5399C" w:rsidP="00EE4B9A">
      <w:pPr>
        <w:spacing w:after="0" w:line="240" w:lineRule="auto"/>
        <w:jc w:val="center"/>
        <w:rPr>
          <w:rFonts w:ascii="Arial" w:hAnsi="Arial" w:cs="Arial"/>
          <w:b/>
        </w:rPr>
      </w:pPr>
      <w:r w:rsidRPr="00EE4B9A">
        <w:rPr>
          <w:rFonts w:ascii="Arial" w:hAnsi="Arial" w:cs="Arial"/>
          <w:b/>
        </w:rPr>
        <w:t xml:space="preserve">Порядок расчета в случае недопуска к расчетному прибору учета, в случае </w:t>
      </w:r>
      <w:r w:rsidR="00EE4B9A" w:rsidRPr="00EE4B9A">
        <w:rPr>
          <w:rFonts w:ascii="Arial" w:hAnsi="Arial" w:cs="Arial"/>
          <w:b/>
        </w:rPr>
        <w:t xml:space="preserve">несоответствия расчетного прибора учета требованиям, предъявляемым к такому прибору учета, </w:t>
      </w:r>
      <w:r w:rsidR="00F619AF">
        <w:rPr>
          <w:rFonts w:ascii="Arial" w:hAnsi="Arial" w:cs="Arial"/>
          <w:b/>
        </w:rPr>
        <w:t>в случае демонтажа прибора учета, а также</w:t>
      </w:r>
      <w:r w:rsidRPr="00EE4B9A">
        <w:rPr>
          <w:rFonts w:ascii="Arial" w:hAnsi="Arial" w:cs="Arial"/>
          <w:b/>
        </w:rPr>
        <w:t xml:space="preserve"> </w:t>
      </w:r>
      <w:r w:rsidR="00F619AF">
        <w:rPr>
          <w:rFonts w:ascii="Arial" w:hAnsi="Arial" w:cs="Arial"/>
          <w:b/>
        </w:rPr>
        <w:t xml:space="preserve">в случае </w:t>
      </w:r>
      <w:r w:rsidRPr="00EE4B9A">
        <w:rPr>
          <w:rFonts w:ascii="Arial" w:hAnsi="Arial" w:cs="Arial"/>
          <w:b/>
        </w:rPr>
        <w:t xml:space="preserve">истечения </w:t>
      </w:r>
      <w:r w:rsidR="00EE4B9A" w:rsidRPr="00EE4B9A">
        <w:rPr>
          <w:rFonts w:ascii="Arial" w:hAnsi="Arial" w:cs="Arial"/>
          <w:b/>
        </w:rPr>
        <w:t>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w:t>
      </w:r>
    </w:p>
    <w:p w:rsidR="00FF48DC" w:rsidRPr="00F619AF" w:rsidRDefault="00716B4B" w:rsidP="00EE4B9A">
      <w:pPr>
        <w:spacing w:after="0" w:line="240" w:lineRule="auto"/>
        <w:jc w:val="center"/>
        <w:rPr>
          <w:rFonts w:ascii="Arial" w:hAnsi="Arial" w:cs="Arial"/>
          <w:sz w:val="20"/>
          <w:szCs w:val="20"/>
        </w:rPr>
      </w:pPr>
      <w:r>
        <w:rPr>
          <w:rFonts w:ascii="Arial" w:hAnsi="Arial" w:cs="Arial"/>
          <w:sz w:val="20"/>
          <w:szCs w:val="20"/>
        </w:rPr>
        <w:t>(пункты 182, 184 ,</w:t>
      </w:r>
      <w:r w:rsidR="00FF48DC" w:rsidRPr="00F619AF">
        <w:rPr>
          <w:rFonts w:ascii="Arial" w:hAnsi="Arial" w:cs="Arial"/>
          <w:sz w:val="20"/>
          <w:szCs w:val="20"/>
        </w:rPr>
        <w:t>188</w:t>
      </w:r>
      <w:r>
        <w:rPr>
          <w:rFonts w:ascii="Arial" w:hAnsi="Arial" w:cs="Arial"/>
          <w:sz w:val="20"/>
          <w:szCs w:val="20"/>
        </w:rPr>
        <w:t xml:space="preserve"> и 154</w:t>
      </w:r>
      <w:bookmarkStart w:id="1" w:name="_GoBack"/>
      <w:bookmarkEnd w:id="1"/>
      <w:r w:rsidR="00FF48DC" w:rsidRPr="00F619AF">
        <w:rPr>
          <w:rFonts w:ascii="Arial" w:hAnsi="Arial" w:cs="Arial"/>
          <w:sz w:val="20"/>
          <w:szCs w:val="20"/>
        </w:rPr>
        <w:t xml:space="preserve"> Основных положений № 442)</w:t>
      </w:r>
    </w:p>
    <w:p w:rsidR="00F5399C" w:rsidRDefault="00F5399C" w:rsidP="00F5399C">
      <w:pPr>
        <w:spacing w:after="0" w:line="240" w:lineRule="auto"/>
        <w:jc w:val="center"/>
        <w:rPr>
          <w:rFonts w:ascii="Arial" w:hAnsi="Arial" w:cs="Arial"/>
          <w:b/>
        </w:rPr>
      </w:pPr>
    </w:p>
    <w:p w:rsidR="00F5399C" w:rsidRPr="00F5399C" w:rsidRDefault="00F5399C" w:rsidP="00F5399C">
      <w:pPr>
        <w:autoSpaceDE w:val="0"/>
        <w:autoSpaceDN w:val="0"/>
        <w:adjustRightInd w:val="0"/>
        <w:spacing w:after="0" w:line="240" w:lineRule="auto"/>
        <w:ind w:firstLine="709"/>
        <w:jc w:val="both"/>
        <w:rPr>
          <w:rFonts w:ascii="Arial" w:hAnsi="Arial" w:cs="Arial"/>
          <w:iCs/>
        </w:rPr>
      </w:pPr>
      <w:r w:rsidRPr="00F5399C">
        <w:rPr>
          <w:rFonts w:ascii="Arial" w:hAnsi="Arial" w:cs="Arial"/>
          <w:iCs/>
        </w:rPr>
        <w:t>В случае двукратного недопуска к расчетному прибору учета, установленному в границах энергопринимающих устройств потребителя, в том числе в отношении точек поставки для лиц, опосредованно присоединенных через объекты такого потребителя электрической энергии, для проведения контрольного снятия показаний и (или) для проведения проверки приборов учета объем потребления и оказанных услуг по передаче электрической энергии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 исходя из увеличенных в 1,5 раза значений, определенных на основании замещающей информации.</w:t>
      </w:r>
    </w:p>
    <w:p w:rsidR="00F5399C" w:rsidRPr="00F5399C" w:rsidRDefault="00F5399C" w:rsidP="00F5399C">
      <w:pPr>
        <w:autoSpaceDE w:val="0"/>
        <w:autoSpaceDN w:val="0"/>
        <w:adjustRightInd w:val="0"/>
        <w:spacing w:after="0" w:line="240" w:lineRule="auto"/>
        <w:ind w:firstLine="709"/>
        <w:jc w:val="both"/>
        <w:rPr>
          <w:rFonts w:ascii="Arial" w:hAnsi="Arial" w:cs="Arial"/>
          <w:iCs/>
        </w:rPr>
      </w:pPr>
      <w:r w:rsidRPr="00F5399C">
        <w:rPr>
          <w:rFonts w:ascii="Arial" w:hAnsi="Arial" w:cs="Arial"/>
          <w:iCs/>
        </w:rPr>
        <w:t xml:space="preserve">В случае двукратного недопуска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в том числе в отношении точек поставки иных лиц, опосредованно присоединенных через объекты по производству электрической энергии (мощности), для проведения контрольного снятия показаний и (или) проведения проверки прибора учета при отсутствии контрольного прибора учета объемы производства электрической энергии (мощности), в том числе почасовые объемы </w:t>
      </w:r>
      <w:r w:rsidRPr="00F5399C">
        <w:rPr>
          <w:rFonts w:ascii="Arial" w:hAnsi="Arial" w:cs="Arial"/>
          <w:iCs/>
        </w:rPr>
        <w:lastRenderedPageBreak/>
        <w:t>производства электрической энергии, начиная с даты второго недопуска вплоть до даты допуска к расчетному прибору учета, считаются равными нулю.</w:t>
      </w:r>
    </w:p>
    <w:p w:rsidR="00F5399C" w:rsidRPr="00F5399C" w:rsidRDefault="00F5399C" w:rsidP="00093DCB">
      <w:pPr>
        <w:autoSpaceDE w:val="0"/>
        <w:autoSpaceDN w:val="0"/>
        <w:adjustRightInd w:val="0"/>
        <w:spacing w:after="0" w:line="240" w:lineRule="auto"/>
        <w:ind w:firstLine="709"/>
        <w:jc w:val="both"/>
        <w:rPr>
          <w:rFonts w:ascii="Arial" w:hAnsi="Arial" w:cs="Arial"/>
          <w:iCs/>
        </w:rPr>
      </w:pPr>
      <w:r w:rsidRPr="00F5399C">
        <w:rPr>
          <w:rFonts w:ascii="Arial" w:hAnsi="Arial" w:cs="Arial"/>
          <w:iCs/>
        </w:rPr>
        <w:t>В случае двукратного недопуска к расчетному прибору учета, установленному в границах объектов электросетевого хозяйства сетевой организации, при отсутствии контрольного прибора учета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второго недопуска вплоть до даты допуска к расчетному прибору учета, следующим образом:</w:t>
      </w:r>
    </w:p>
    <w:p w:rsidR="00F5399C" w:rsidRPr="00F5399C" w:rsidRDefault="00F5399C" w:rsidP="00093DCB">
      <w:pPr>
        <w:autoSpaceDE w:val="0"/>
        <w:autoSpaceDN w:val="0"/>
        <w:adjustRightInd w:val="0"/>
        <w:spacing w:after="0" w:line="240" w:lineRule="auto"/>
        <w:ind w:firstLine="709"/>
        <w:jc w:val="both"/>
        <w:rPr>
          <w:rFonts w:ascii="Arial" w:hAnsi="Arial" w:cs="Arial"/>
          <w:iCs/>
        </w:rPr>
      </w:pPr>
      <w:r w:rsidRPr="00F5399C">
        <w:rPr>
          <w:rFonts w:ascii="Arial" w:hAnsi="Arial" w:cs="Arial"/>
          <w:iCs/>
        </w:rPr>
        <w:t>объем электрической энергии, принятой в объекты электросетевого хозяйства сетевой организации, которая не передала показания, определяется исходя из максимальных среднесуточных значений за месяц, в котором было зафиксировано наибольшее поступление в сеть по соответствующей точке поставки за прошедший год;</w:t>
      </w:r>
    </w:p>
    <w:p w:rsidR="00763D81" w:rsidRDefault="00F5399C" w:rsidP="00093DCB">
      <w:pPr>
        <w:spacing w:after="0" w:line="240" w:lineRule="auto"/>
        <w:ind w:firstLine="709"/>
        <w:jc w:val="both"/>
        <w:rPr>
          <w:rFonts w:ascii="Arial" w:hAnsi="Arial" w:cs="Arial"/>
          <w:i/>
          <w:iCs/>
        </w:rPr>
      </w:pPr>
      <w:r w:rsidRPr="00F5399C">
        <w:rPr>
          <w:rFonts w:ascii="Arial" w:hAnsi="Arial" w:cs="Arial"/>
          <w:iCs/>
        </w:rPr>
        <w:t xml:space="preserve">объем электрической энергии, отпущенной из объектов электросетевого хозяйства сетевой организации, которая не передала показания,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соответствующей </w:t>
      </w:r>
      <w:r w:rsidR="00763D81">
        <w:rPr>
          <w:rFonts w:ascii="Arial" w:hAnsi="Arial" w:cs="Arial"/>
          <w:iCs/>
        </w:rPr>
        <w:t xml:space="preserve">точке поставки за прошедший год </w:t>
      </w:r>
      <w:r w:rsidR="00763D81" w:rsidRPr="00093DCB">
        <w:rPr>
          <w:rFonts w:ascii="Arial" w:hAnsi="Arial" w:cs="Arial"/>
          <w:i/>
          <w:iCs/>
        </w:rPr>
        <w:t>(пункт 182 Основных положений № 442).</w:t>
      </w:r>
    </w:p>
    <w:p w:rsidR="00F619AF" w:rsidRPr="00F5399C" w:rsidRDefault="00F619AF" w:rsidP="00093DCB">
      <w:pPr>
        <w:spacing w:after="0" w:line="240" w:lineRule="auto"/>
        <w:ind w:firstLine="709"/>
        <w:jc w:val="both"/>
        <w:rPr>
          <w:rFonts w:ascii="Arial" w:hAnsi="Arial" w:cs="Arial"/>
          <w:b/>
        </w:rPr>
      </w:pPr>
    </w:p>
    <w:p w:rsidR="00093DCB" w:rsidRDefault="00093DCB" w:rsidP="00093DCB">
      <w:pPr>
        <w:autoSpaceDE w:val="0"/>
        <w:autoSpaceDN w:val="0"/>
        <w:adjustRightInd w:val="0"/>
        <w:spacing w:after="0" w:line="240" w:lineRule="auto"/>
        <w:ind w:firstLine="709"/>
        <w:jc w:val="both"/>
        <w:rPr>
          <w:rFonts w:ascii="Arial" w:hAnsi="Arial" w:cs="Arial"/>
        </w:rPr>
      </w:pPr>
      <w:r>
        <w:rPr>
          <w:rFonts w:ascii="Arial" w:hAnsi="Arial" w:cs="Arial"/>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как объем потребления (производства) электрической энергии, определенный на основании показаний прибора учета, входящего в соответствующий измерительный комплекс.</w:t>
      </w:r>
    </w:p>
    <w:p w:rsidR="00093DCB" w:rsidRDefault="00093DCB" w:rsidP="00093DCB">
      <w:pPr>
        <w:autoSpaceDE w:val="0"/>
        <w:autoSpaceDN w:val="0"/>
        <w:adjustRightInd w:val="0"/>
        <w:spacing w:after="0" w:line="240" w:lineRule="auto"/>
        <w:ind w:firstLine="709"/>
        <w:jc w:val="both"/>
        <w:rPr>
          <w:rFonts w:ascii="Arial" w:hAnsi="Arial" w:cs="Arial"/>
        </w:rPr>
      </w:pPr>
      <w:r>
        <w:rPr>
          <w:rFonts w:ascii="Arial" w:hAnsi="Arial" w:cs="Arial"/>
        </w:rPr>
        <w:t>Если в соответствии с Основными положениями № 442 приобретение, установку, замену и эксплуатацию такого измерительного трансформатора, используемого для обеспечения коммерческого учета электрической энергии в составе измерительного комплекса, осуществляет не сетевая организация или гарантирующий поставщик, то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в следующем порядке:</w:t>
      </w:r>
    </w:p>
    <w:p w:rsidR="00093DCB" w:rsidRDefault="00093DCB" w:rsidP="00093DCB">
      <w:pPr>
        <w:autoSpaceDE w:val="0"/>
        <w:autoSpaceDN w:val="0"/>
        <w:adjustRightInd w:val="0"/>
        <w:spacing w:after="0" w:line="240" w:lineRule="auto"/>
        <w:ind w:firstLine="709"/>
        <w:jc w:val="both"/>
        <w:rPr>
          <w:rFonts w:ascii="Arial" w:hAnsi="Arial" w:cs="Arial"/>
        </w:rPr>
      </w:pPr>
      <w:r>
        <w:rPr>
          <w:rFonts w:ascii="Arial" w:hAnsi="Arial" w:cs="Arial"/>
        </w:rPr>
        <w:t>для 1-го и последующих часов первого расчетного периода определяется с использованием замещающей информации;</w:t>
      </w:r>
    </w:p>
    <w:p w:rsidR="00763D81" w:rsidRDefault="00093DCB" w:rsidP="00093DCB">
      <w:pPr>
        <w:autoSpaceDE w:val="0"/>
        <w:autoSpaceDN w:val="0"/>
        <w:adjustRightInd w:val="0"/>
        <w:spacing w:after="0" w:line="240" w:lineRule="auto"/>
        <w:ind w:firstLine="709"/>
        <w:jc w:val="both"/>
        <w:rPr>
          <w:rFonts w:ascii="Arial" w:hAnsi="Arial" w:cs="Arial"/>
          <w:i/>
          <w:iCs/>
        </w:rPr>
      </w:pPr>
      <w:r>
        <w:rPr>
          <w:rFonts w:ascii="Arial" w:hAnsi="Arial" w:cs="Arial"/>
        </w:rPr>
        <w:t xml:space="preserve">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 объем произведенной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0,5 </w:t>
      </w:r>
      <w:r w:rsidRPr="00093DCB">
        <w:rPr>
          <w:rFonts w:ascii="Arial" w:hAnsi="Arial" w:cs="Arial"/>
          <w:i/>
          <w:iCs/>
        </w:rPr>
        <w:t xml:space="preserve">(пункт </w:t>
      </w:r>
      <w:r>
        <w:rPr>
          <w:rFonts w:ascii="Arial" w:hAnsi="Arial" w:cs="Arial"/>
          <w:i/>
          <w:iCs/>
        </w:rPr>
        <w:t>184</w:t>
      </w:r>
      <w:r w:rsidRPr="00093DCB">
        <w:rPr>
          <w:rFonts w:ascii="Arial" w:hAnsi="Arial" w:cs="Arial"/>
          <w:i/>
          <w:iCs/>
        </w:rPr>
        <w:t xml:space="preserve"> Основных положений № 442).</w:t>
      </w:r>
    </w:p>
    <w:p w:rsidR="00F619AF" w:rsidRDefault="00F619AF" w:rsidP="00093DCB">
      <w:pPr>
        <w:autoSpaceDE w:val="0"/>
        <w:autoSpaceDN w:val="0"/>
        <w:adjustRightInd w:val="0"/>
        <w:spacing w:after="0" w:line="240" w:lineRule="auto"/>
        <w:ind w:firstLine="709"/>
        <w:jc w:val="both"/>
        <w:rPr>
          <w:rFonts w:ascii="Arial" w:hAnsi="Arial" w:cs="Arial"/>
          <w:i/>
          <w:iCs/>
        </w:rPr>
      </w:pPr>
    </w:p>
    <w:p w:rsidR="0034474F" w:rsidRDefault="0034474F" w:rsidP="0034474F">
      <w:pPr>
        <w:autoSpaceDE w:val="0"/>
        <w:autoSpaceDN w:val="0"/>
        <w:adjustRightInd w:val="0"/>
        <w:spacing w:after="0" w:line="240" w:lineRule="auto"/>
        <w:ind w:firstLine="709"/>
        <w:jc w:val="both"/>
        <w:rPr>
          <w:rFonts w:ascii="Arial" w:hAnsi="Arial" w:cs="Arial"/>
        </w:rPr>
      </w:pPr>
      <w:r>
        <w:rPr>
          <w:rFonts w:ascii="Arial" w:hAnsi="Arial" w:cs="Arial"/>
        </w:rPr>
        <w:t>В случае если в результате проверки прибора учета, эксплуатацию которого в соответствии с настоящим документом осуществляет сетевая организация (гарантирующий поставщик), сделано заключение о непригодности расчетного прибора учета для осуществления расчетов за потребленную на розничных рынках электрическую энергию (мощность) и оказанные услуги по передаче электрической энергии,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должен быть сделан перерасчет за потребленную на розничных рынках электрическую энергию (мощность) и оказанные услуги по передаче электрической энергии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в соответствии с настоящим документом) до даты составления акта проверки.</w:t>
      </w:r>
    </w:p>
    <w:p w:rsidR="0034474F" w:rsidRDefault="0034474F" w:rsidP="0034474F">
      <w:pPr>
        <w:autoSpaceDE w:val="0"/>
        <w:autoSpaceDN w:val="0"/>
        <w:adjustRightInd w:val="0"/>
        <w:spacing w:after="0" w:line="240" w:lineRule="auto"/>
        <w:ind w:firstLine="709"/>
        <w:jc w:val="both"/>
        <w:rPr>
          <w:rFonts w:ascii="Arial" w:hAnsi="Arial" w:cs="Arial"/>
        </w:rPr>
      </w:pPr>
      <w:r>
        <w:rPr>
          <w:rFonts w:ascii="Arial" w:hAnsi="Arial" w:cs="Arial"/>
        </w:rPr>
        <w:lastRenderedPageBreak/>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p>
    <w:p w:rsidR="0034474F" w:rsidRDefault="0034474F" w:rsidP="0034474F">
      <w:pPr>
        <w:autoSpaceDE w:val="0"/>
        <w:autoSpaceDN w:val="0"/>
        <w:adjustRightInd w:val="0"/>
        <w:spacing w:after="0" w:line="240" w:lineRule="auto"/>
        <w:ind w:firstLine="709"/>
        <w:jc w:val="both"/>
        <w:rPr>
          <w:rFonts w:ascii="Arial" w:hAnsi="Arial" w:cs="Arial"/>
        </w:rPr>
      </w:pPr>
      <w:r>
        <w:rPr>
          <w:rFonts w:ascii="Arial" w:hAnsi="Arial" w:cs="Arial"/>
        </w:rPr>
        <w:t>Перерасчет за потребленную на розничных рынках электрическую энергию (мощность) и оказанные услуги по передаче электрической энергии осуществляется в соответствии с расчетными способами для случая непредставления показаний расчетного прибора учета в установленные сроки и при отсутствии контрольного прибора учета, а также учитывается сетевой организацией по договору на оказание услуг по передаче электрической энергии в отношении соответствующей точки поставки и гарантирующим поставщиком (энергосбытовой, энергоснабжающей организацией) по договору энергоснабжения (купли-продажи (поставки) электрической энергии) в том расчетном периоде, в котором была проведена проверка прибора учета и выявлен факт, свидетельствующий о необходимости указанного перерасчета. Счет на оплату услуг по передаче электрической энергии и счет на оплату поставленной электрической энергии также должны содержать расчет объема и стоимости перерасчета за потребленную на розничных рынках электрическую энергию (мощность) и оказанные услуги по передаче электрической энергии.</w:t>
      </w:r>
    </w:p>
    <w:p w:rsidR="000567BC" w:rsidRDefault="0034474F" w:rsidP="000567BC">
      <w:pPr>
        <w:autoSpaceDE w:val="0"/>
        <w:autoSpaceDN w:val="0"/>
        <w:adjustRightInd w:val="0"/>
        <w:spacing w:after="0" w:line="240" w:lineRule="auto"/>
        <w:ind w:firstLine="709"/>
        <w:jc w:val="both"/>
        <w:rPr>
          <w:rFonts w:ascii="Arial" w:hAnsi="Arial" w:cs="Arial"/>
          <w:i/>
        </w:rPr>
      </w:pPr>
      <w:r>
        <w:rPr>
          <w:rFonts w:ascii="Arial" w:hAnsi="Arial" w:cs="Arial"/>
        </w:rPr>
        <w:t>В случае если в результате перерасчета стоимости поставленной электрической энергии (мощности) и оказанных услуг по передаче электрической энергии она должна быть уменьшена на величину, превышающую стоимость фактически потребленной в соответствующем расчетном периоде электрической энергии (мощности) и оказанных услуг по передаче электрической энергии, такое превышение учитывается в следующих расчетных периодах</w:t>
      </w:r>
      <w:r w:rsidR="00854505">
        <w:rPr>
          <w:rFonts w:ascii="Arial" w:hAnsi="Arial" w:cs="Arial"/>
        </w:rPr>
        <w:t xml:space="preserve"> </w:t>
      </w:r>
      <w:r w:rsidRPr="00854505">
        <w:rPr>
          <w:rFonts w:ascii="Arial" w:hAnsi="Arial" w:cs="Arial"/>
          <w:i/>
        </w:rPr>
        <w:t>(пункт 188 Основных положений № 442)</w:t>
      </w:r>
      <w:r w:rsidR="00854505" w:rsidRPr="00854505">
        <w:rPr>
          <w:rFonts w:ascii="Arial" w:hAnsi="Arial" w:cs="Arial"/>
          <w:i/>
        </w:rPr>
        <w:t>.</w:t>
      </w:r>
    </w:p>
    <w:p w:rsidR="000567BC" w:rsidRDefault="000567BC" w:rsidP="000567BC">
      <w:pPr>
        <w:autoSpaceDE w:val="0"/>
        <w:autoSpaceDN w:val="0"/>
        <w:adjustRightInd w:val="0"/>
        <w:spacing w:after="0" w:line="240" w:lineRule="auto"/>
        <w:ind w:firstLine="709"/>
        <w:jc w:val="both"/>
        <w:rPr>
          <w:rFonts w:ascii="Arial" w:hAnsi="Arial" w:cs="Arial"/>
          <w:i/>
        </w:rPr>
      </w:pPr>
    </w:p>
    <w:p w:rsidR="000567BC" w:rsidRDefault="00FF48DC" w:rsidP="000567BC">
      <w:pPr>
        <w:autoSpaceDE w:val="0"/>
        <w:autoSpaceDN w:val="0"/>
        <w:adjustRightInd w:val="0"/>
        <w:spacing w:after="0" w:line="240" w:lineRule="auto"/>
        <w:ind w:firstLine="709"/>
        <w:jc w:val="both"/>
        <w:rPr>
          <w:rFonts w:ascii="Arial" w:hAnsi="Arial" w:cs="Arial"/>
          <w:i/>
        </w:rPr>
      </w:pPr>
      <w:r w:rsidRPr="00F619AF">
        <w:rPr>
          <w:rFonts w:ascii="Arial" w:hAnsi="Arial" w:cs="Arial"/>
          <w:bCs/>
        </w:rPr>
        <w:t xml:space="preserve">С момента демонтажа и до установки прибора учета объем потребляемой электрической энергии определяется </w:t>
      </w:r>
      <w:r w:rsidR="000567BC">
        <w:rPr>
          <w:rFonts w:ascii="Arial" w:hAnsi="Arial" w:cs="Arial"/>
        </w:rPr>
        <w:t xml:space="preserve">на основании замещающей информации </w:t>
      </w:r>
      <w:r w:rsidR="000567BC">
        <w:rPr>
          <w:rFonts w:ascii="Arial" w:hAnsi="Arial" w:cs="Arial"/>
          <w:i/>
        </w:rPr>
        <w:t>(пункт 154</w:t>
      </w:r>
      <w:r w:rsidR="000567BC" w:rsidRPr="00854505">
        <w:rPr>
          <w:rFonts w:ascii="Arial" w:hAnsi="Arial" w:cs="Arial"/>
          <w:i/>
        </w:rPr>
        <w:t xml:space="preserve"> Основных положений № 442).</w:t>
      </w:r>
    </w:p>
    <w:p w:rsidR="000567BC" w:rsidRPr="000567BC" w:rsidRDefault="000567BC" w:rsidP="000567BC">
      <w:pPr>
        <w:autoSpaceDE w:val="0"/>
        <w:autoSpaceDN w:val="0"/>
        <w:adjustRightInd w:val="0"/>
        <w:spacing w:after="0" w:line="240" w:lineRule="auto"/>
        <w:ind w:firstLine="709"/>
        <w:jc w:val="both"/>
        <w:rPr>
          <w:rFonts w:ascii="Arial" w:hAnsi="Arial" w:cs="Arial"/>
          <w:i/>
        </w:rPr>
      </w:pPr>
    </w:p>
    <w:p w:rsidR="00FF48DC" w:rsidRPr="00F619AF" w:rsidRDefault="00FF48DC" w:rsidP="000567BC">
      <w:pPr>
        <w:autoSpaceDE w:val="0"/>
        <w:autoSpaceDN w:val="0"/>
        <w:adjustRightInd w:val="0"/>
        <w:spacing w:after="0" w:line="240" w:lineRule="auto"/>
        <w:ind w:firstLine="709"/>
        <w:jc w:val="both"/>
        <w:rPr>
          <w:rFonts w:ascii="Arial" w:hAnsi="Arial" w:cs="Arial"/>
          <w:bCs/>
        </w:rPr>
      </w:pPr>
    </w:p>
    <w:p w:rsidR="00D00F0D" w:rsidRDefault="00D00F0D" w:rsidP="000567BC">
      <w:pPr>
        <w:autoSpaceDE w:val="0"/>
        <w:autoSpaceDN w:val="0"/>
        <w:adjustRightInd w:val="0"/>
        <w:spacing w:after="0" w:line="240" w:lineRule="auto"/>
        <w:jc w:val="both"/>
        <w:rPr>
          <w:rFonts w:ascii="Arial" w:hAnsi="Arial" w:cs="Arial"/>
          <w:i/>
        </w:rPr>
      </w:pPr>
    </w:p>
    <w:p w:rsidR="00E95B76" w:rsidRPr="00D00F0D" w:rsidRDefault="00E95B76" w:rsidP="00D00F0D">
      <w:pPr>
        <w:autoSpaceDE w:val="0"/>
        <w:autoSpaceDN w:val="0"/>
        <w:adjustRightInd w:val="0"/>
        <w:spacing w:after="0" w:line="240" w:lineRule="auto"/>
        <w:jc w:val="center"/>
        <w:rPr>
          <w:rFonts w:ascii="Arial" w:hAnsi="Arial" w:cs="Arial"/>
          <w:b/>
        </w:rPr>
      </w:pPr>
      <w:r w:rsidRPr="00D00F0D">
        <w:rPr>
          <w:rFonts w:ascii="Arial" w:hAnsi="Arial" w:cs="Arial"/>
          <w:b/>
        </w:rPr>
        <w:t>Расчет объема безучетного или бездоговорного потребления</w:t>
      </w:r>
    </w:p>
    <w:p w:rsidR="008171F0" w:rsidRPr="00AC64D6" w:rsidRDefault="00D00F0D" w:rsidP="00AC64D6">
      <w:pPr>
        <w:autoSpaceDE w:val="0"/>
        <w:autoSpaceDN w:val="0"/>
        <w:adjustRightInd w:val="0"/>
        <w:spacing w:after="0" w:line="240" w:lineRule="auto"/>
        <w:jc w:val="center"/>
        <w:rPr>
          <w:rFonts w:ascii="Arial" w:hAnsi="Arial" w:cs="Arial"/>
          <w:sz w:val="20"/>
          <w:szCs w:val="20"/>
        </w:rPr>
      </w:pPr>
      <w:r w:rsidRPr="00AC64D6">
        <w:rPr>
          <w:rFonts w:ascii="Arial" w:hAnsi="Arial" w:cs="Arial"/>
          <w:sz w:val="20"/>
          <w:szCs w:val="20"/>
        </w:rPr>
        <w:t>(пункт</w:t>
      </w:r>
      <w:r w:rsidR="00AC64D6" w:rsidRPr="00AC64D6">
        <w:rPr>
          <w:rFonts w:ascii="Arial" w:hAnsi="Arial" w:cs="Arial"/>
          <w:sz w:val="20"/>
          <w:szCs w:val="20"/>
        </w:rPr>
        <w:t>ы</w:t>
      </w:r>
      <w:r w:rsidRPr="00AC64D6">
        <w:rPr>
          <w:rFonts w:ascii="Arial" w:hAnsi="Arial" w:cs="Arial"/>
          <w:sz w:val="20"/>
          <w:szCs w:val="20"/>
        </w:rPr>
        <w:t xml:space="preserve"> 187</w:t>
      </w:r>
      <w:r w:rsidR="00AC64D6" w:rsidRPr="00AC64D6">
        <w:rPr>
          <w:rFonts w:ascii="Arial" w:hAnsi="Arial" w:cs="Arial"/>
          <w:sz w:val="20"/>
          <w:szCs w:val="20"/>
        </w:rPr>
        <w:t>, 189</w:t>
      </w:r>
      <w:r w:rsidRPr="00AC64D6">
        <w:rPr>
          <w:rFonts w:ascii="Arial" w:hAnsi="Arial" w:cs="Arial"/>
          <w:sz w:val="20"/>
          <w:szCs w:val="20"/>
        </w:rPr>
        <w:t xml:space="preserve"> Основных положений № 442</w:t>
      </w:r>
      <w:r w:rsidR="00AC64D6" w:rsidRPr="00AC64D6">
        <w:rPr>
          <w:rFonts w:ascii="Arial" w:hAnsi="Arial" w:cs="Arial"/>
          <w:sz w:val="20"/>
          <w:szCs w:val="20"/>
        </w:rPr>
        <w:t>)</w:t>
      </w:r>
    </w:p>
    <w:p w:rsidR="00D00F0D" w:rsidRDefault="00D00F0D" w:rsidP="00E95B76">
      <w:pPr>
        <w:autoSpaceDE w:val="0"/>
        <w:autoSpaceDN w:val="0"/>
        <w:adjustRightInd w:val="0"/>
        <w:spacing w:after="0" w:line="240" w:lineRule="auto"/>
        <w:ind w:firstLine="709"/>
        <w:jc w:val="both"/>
        <w:rPr>
          <w:rFonts w:ascii="Arial" w:hAnsi="Arial" w:cs="Arial"/>
        </w:rPr>
      </w:pPr>
    </w:p>
    <w:p w:rsidR="008171F0" w:rsidRPr="00AC64D6" w:rsidRDefault="008171F0" w:rsidP="00AC64D6">
      <w:pPr>
        <w:autoSpaceDE w:val="0"/>
        <w:autoSpaceDN w:val="0"/>
        <w:adjustRightInd w:val="0"/>
        <w:spacing w:after="0" w:line="240" w:lineRule="auto"/>
        <w:ind w:firstLine="709"/>
        <w:jc w:val="both"/>
        <w:rPr>
          <w:rFonts w:ascii="Arial" w:hAnsi="Arial" w:cs="Arial"/>
          <w:b/>
          <w:i/>
        </w:rPr>
      </w:pPr>
      <w:r w:rsidRPr="00AC64D6">
        <w:rPr>
          <w:rFonts w:ascii="Arial" w:hAnsi="Arial" w:cs="Arial"/>
        </w:rPr>
        <w:t xml:space="preserve">Объем безучетного потребления в отношении потребителей электрической энергии (мощности), за исключением населения и приравненных к нему категорий потребителей, определяется с применением расчетного способа, предусмотренного </w:t>
      </w:r>
      <w:hyperlink r:id="rId15" w:history="1">
        <w:r w:rsidRPr="00AC64D6">
          <w:rPr>
            <w:rFonts w:ascii="Arial" w:hAnsi="Arial" w:cs="Arial"/>
          </w:rPr>
          <w:t xml:space="preserve">подпунктом </w:t>
        </w:r>
        <w:r w:rsidR="00D00F0D" w:rsidRPr="00AC64D6">
          <w:rPr>
            <w:rFonts w:ascii="Arial" w:hAnsi="Arial" w:cs="Arial"/>
          </w:rPr>
          <w:t>«</w:t>
        </w:r>
        <w:r w:rsidRPr="00AC64D6">
          <w:rPr>
            <w:rFonts w:ascii="Arial" w:hAnsi="Arial" w:cs="Arial"/>
          </w:rPr>
          <w:t>а</w:t>
        </w:r>
        <w:r w:rsidR="00D00F0D" w:rsidRPr="00AC64D6">
          <w:rPr>
            <w:rFonts w:ascii="Arial" w:hAnsi="Arial" w:cs="Arial"/>
          </w:rPr>
          <w:t>»</w:t>
        </w:r>
        <w:r w:rsidRPr="00AC64D6">
          <w:rPr>
            <w:rFonts w:ascii="Arial" w:hAnsi="Arial" w:cs="Arial"/>
          </w:rPr>
          <w:t xml:space="preserve"> пункта 1</w:t>
        </w:r>
      </w:hyperlink>
      <w:r w:rsidRPr="00AC64D6">
        <w:rPr>
          <w:rFonts w:ascii="Arial" w:hAnsi="Arial" w:cs="Arial"/>
        </w:rPr>
        <w:t xml:space="preserve"> приложения </w:t>
      </w:r>
      <w:r w:rsidR="00D00F0D" w:rsidRPr="00AC64D6">
        <w:rPr>
          <w:rFonts w:ascii="Arial" w:hAnsi="Arial" w:cs="Arial"/>
        </w:rPr>
        <w:t>№</w:t>
      </w:r>
      <w:r w:rsidRPr="00AC64D6">
        <w:rPr>
          <w:rFonts w:ascii="Arial" w:hAnsi="Arial" w:cs="Arial"/>
        </w:rPr>
        <w:t xml:space="preserve"> 3 к </w:t>
      </w:r>
      <w:r w:rsidR="00D00F0D" w:rsidRPr="00AC64D6">
        <w:rPr>
          <w:rFonts w:ascii="Arial" w:hAnsi="Arial" w:cs="Arial"/>
        </w:rPr>
        <w:t xml:space="preserve">Основным положениям № 442 </w:t>
      </w:r>
      <w:r w:rsidR="00D00F0D" w:rsidRPr="00AC64D6">
        <w:rPr>
          <w:rFonts w:ascii="Arial" w:hAnsi="Arial" w:cs="Arial"/>
          <w:b/>
          <w:i/>
        </w:rPr>
        <w:t>(расчет «А»).</w:t>
      </w:r>
    </w:p>
    <w:p w:rsidR="008171F0" w:rsidRPr="00AC64D6" w:rsidRDefault="008171F0" w:rsidP="00AC64D6">
      <w:pPr>
        <w:autoSpaceDE w:val="0"/>
        <w:autoSpaceDN w:val="0"/>
        <w:adjustRightInd w:val="0"/>
        <w:spacing w:after="0" w:line="240" w:lineRule="auto"/>
        <w:ind w:firstLine="709"/>
        <w:jc w:val="both"/>
        <w:rPr>
          <w:rFonts w:ascii="Arial" w:hAnsi="Arial" w:cs="Arial"/>
        </w:rPr>
      </w:pPr>
      <w:r w:rsidRPr="00AC64D6">
        <w:rPr>
          <w:rFonts w:ascii="Arial" w:hAnsi="Arial" w:cs="Arial"/>
        </w:rPr>
        <w:t xml:space="preserve">Объем безучетного потребления в отношении приравненных к населению категорий потребителей определяется исходя из объема, рассчитанного на основании показаний расчетного прибора учета за аналогичный расчетный период предыдущего года с применением повышающего коэффициента 10, а при отсутствии указанных показаний - на основании показаний расчетного прибора учета за ближайший расчетный период, когда такие показания были представлены, с применением повышающего коэффициента 10, за исключением </w:t>
      </w:r>
      <w:r w:rsidR="00AC64D6">
        <w:rPr>
          <w:rFonts w:ascii="Arial" w:hAnsi="Arial" w:cs="Arial"/>
        </w:rPr>
        <w:t>исполнителей коммунальных услуг</w:t>
      </w:r>
      <w:r w:rsidRPr="00AC64D6">
        <w:rPr>
          <w:rFonts w:ascii="Arial" w:hAnsi="Arial" w:cs="Arial"/>
        </w:rPr>
        <w:t xml:space="preserve">. Объем безучетного потребления в отношении </w:t>
      </w:r>
      <w:r w:rsidR="00AC64D6">
        <w:rPr>
          <w:rFonts w:ascii="Arial" w:hAnsi="Arial" w:cs="Arial"/>
        </w:rPr>
        <w:t>исполнителей коммунальных услуг</w:t>
      </w:r>
      <w:r w:rsidRPr="00AC64D6">
        <w:rPr>
          <w:rFonts w:ascii="Arial" w:hAnsi="Arial" w:cs="Arial"/>
        </w:rPr>
        <w:t xml:space="preserve">, определяется в соответствии с </w:t>
      </w:r>
      <w:hyperlink r:id="rId16" w:history="1">
        <w:r w:rsidRPr="00AC64D6">
          <w:rPr>
            <w:rFonts w:ascii="Arial" w:hAnsi="Arial" w:cs="Arial"/>
          </w:rPr>
          <w:t>Правилами</w:t>
        </w:r>
      </w:hyperlink>
      <w:r w:rsidRPr="00AC64D6">
        <w:rPr>
          <w:rFonts w:ascii="Arial" w:hAnsi="Arial" w:cs="Arial"/>
        </w:rPr>
        <w:t xml:space="preserve">,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w:t>
      </w:r>
      <w:r w:rsidR="00AC64D6">
        <w:rPr>
          <w:rFonts w:ascii="Arial" w:hAnsi="Arial" w:cs="Arial"/>
        </w:rPr>
        <w:t xml:space="preserve">№ </w:t>
      </w:r>
      <w:r w:rsidRPr="00AC64D6">
        <w:rPr>
          <w:rFonts w:ascii="Arial" w:hAnsi="Arial" w:cs="Arial"/>
        </w:rPr>
        <w:t xml:space="preserve">124 </w:t>
      </w:r>
      <w:r w:rsidR="00AC64D6">
        <w:rPr>
          <w:rFonts w:ascii="Arial" w:hAnsi="Arial" w:cs="Arial"/>
        </w:rPr>
        <w:t>«</w:t>
      </w:r>
      <w:r w:rsidRPr="00AC64D6">
        <w:rPr>
          <w:rFonts w:ascii="Arial" w:hAnsi="Arial" w:cs="Arial"/>
        </w:rPr>
        <w:t>О правилах, обязательных при заключении договоров снабжения коммунальными ресурсами</w:t>
      </w:r>
      <w:r w:rsidR="00AC64D6">
        <w:rPr>
          <w:rFonts w:ascii="Arial" w:hAnsi="Arial" w:cs="Arial"/>
        </w:rPr>
        <w:t>».</w:t>
      </w:r>
    </w:p>
    <w:p w:rsidR="008171F0" w:rsidRPr="00AC64D6" w:rsidRDefault="008171F0" w:rsidP="00AC64D6">
      <w:pPr>
        <w:autoSpaceDE w:val="0"/>
        <w:autoSpaceDN w:val="0"/>
        <w:adjustRightInd w:val="0"/>
        <w:spacing w:after="0" w:line="240" w:lineRule="auto"/>
        <w:ind w:firstLine="709"/>
        <w:jc w:val="both"/>
        <w:rPr>
          <w:rFonts w:ascii="Arial" w:hAnsi="Arial" w:cs="Arial"/>
        </w:rPr>
      </w:pPr>
      <w:r w:rsidRPr="00AC64D6">
        <w:rPr>
          <w:rFonts w:ascii="Arial" w:hAnsi="Arial" w:cs="Arial"/>
        </w:rPr>
        <w:t xml:space="preserve">Объем безучетного потребления в отношении населения определяется в порядке, предусмотренном </w:t>
      </w:r>
      <w:hyperlink r:id="rId17" w:history="1">
        <w:r w:rsidRPr="00AC64D6">
          <w:rPr>
            <w:rFonts w:ascii="Arial" w:hAnsi="Arial" w:cs="Arial"/>
          </w:rPr>
          <w:t>Правилами</w:t>
        </w:r>
      </w:hyperlink>
      <w:r w:rsidRPr="00AC64D6">
        <w:rPr>
          <w:rFonts w:ascii="Arial" w:hAnsi="Arial" w:cs="Arial"/>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w:t>
      </w:r>
      <w:r w:rsidR="00AC64D6">
        <w:rPr>
          <w:rFonts w:ascii="Arial" w:hAnsi="Arial" w:cs="Arial"/>
        </w:rPr>
        <w:t>№</w:t>
      </w:r>
      <w:r w:rsidRPr="00AC64D6">
        <w:rPr>
          <w:rFonts w:ascii="Arial" w:hAnsi="Arial" w:cs="Arial"/>
        </w:rPr>
        <w:t xml:space="preserve"> 354 </w:t>
      </w:r>
      <w:r w:rsidR="00AC64D6">
        <w:rPr>
          <w:rFonts w:ascii="Arial" w:hAnsi="Arial" w:cs="Arial"/>
        </w:rPr>
        <w:t>«</w:t>
      </w:r>
      <w:r w:rsidR="000567BC">
        <w:rPr>
          <w:rFonts w:ascii="Arial" w:hAnsi="Arial" w:cs="Arial"/>
        </w:rPr>
        <w:t>О </w:t>
      </w:r>
      <w:r w:rsidRPr="00AC64D6">
        <w:rPr>
          <w:rFonts w:ascii="Arial" w:hAnsi="Arial" w:cs="Arial"/>
        </w:rPr>
        <w:t>предоставлении коммунальных услуг собственникам и пользователям помещений в многоквартирных домах и жилых домов</w:t>
      </w:r>
      <w:r w:rsidR="00AC64D6">
        <w:rPr>
          <w:rFonts w:ascii="Arial" w:hAnsi="Arial" w:cs="Arial"/>
        </w:rPr>
        <w:t>»</w:t>
      </w:r>
      <w:r w:rsidRPr="00AC64D6">
        <w:rPr>
          <w:rFonts w:ascii="Arial" w:hAnsi="Arial" w:cs="Arial"/>
        </w:rPr>
        <w:t>.</w:t>
      </w:r>
    </w:p>
    <w:p w:rsidR="008171F0" w:rsidRPr="00AC64D6" w:rsidRDefault="008171F0" w:rsidP="00AC64D6">
      <w:pPr>
        <w:autoSpaceDE w:val="0"/>
        <w:autoSpaceDN w:val="0"/>
        <w:adjustRightInd w:val="0"/>
        <w:spacing w:after="0" w:line="240" w:lineRule="auto"/>
        <w:ind w:firstLine="709"/>
        <w:jc w:val="both"/>
        <w:rPr>
          <w:rFonts w:ascii="Arial" w:hAnsi="Arial" w:cs="Arial"/>
        </w:rPr>
      </w:pPr>
      <w:r w:rsidRPr="00AC64D6">
        <w:rPr>
          <w:rFonts w:ascii="Arial" w:hAnsi="Arial" w:cs="Arial"/>
        </w:rPr>
        <w:lastRenderedPageBreak/>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r:id="rId18" w:history="1">
        <w:r w:rsidRPr="00AC64D6">
          <w:rPr>
            <w:rFonts w:ascii="Arial" w:hAnsi="Arial" w:cs="Arial"/>
          </w:rPr>
          <w:t xml:space="preserve">подпунктом </w:t>
        </w:r>
        <w:r w:rsidR="00AC64D6">
          <w:rPr>
            <w:rFonts w:ascii="Arial" w:hAnsi="Arial" w:cs="Arial"/>
          </w:rPr>
          <w:t>«б»</w:t>
        </w:r>
        <w:r w:rsidRPr="00AC64D6">
          <w:rPr>
            <w:rFonts w:ascii="Arial" w:hAnsi="Arial" w:cs="Arial"/>
          </w:rPr>
          <w:t xml:space="preserve"> пункта 1</w:t>
        </w:r>
      </w:hyperlink>
      <w:r w:rsidRPr="00AC64D6">
        <w:rPr>
          <w:rFonts w:ascii="Arial" w:hAnsi="Arial" w:cs="Arial"/>
        </w:rPr>
        <w:t xml:space="preserve"> приложения </w:t>
      </w:r>
      <w:r w:rsidR="00AC64D6">
        <w:rPr>
          <w:rFonts w:ascii="Arial" w:hAnsi="Arial" w:cs="Arial"/>
        </w:rPr>
        <w:t>№</w:t>
      </w:r>
      <w:r w:rsidRPr="00AC64D6">
        <w:rPr>
          <w:rFonts w:ascii="Arial" w:hAnsi="Arial" w:cs="Arial"/>
        </w:rPr>
        <w:t xml:space="preserve"> 3 к </w:t>
      </w:r>
      <w:r w:rsidR="00AC64D6">
        <w:rPr>
          <w:rFonts w:ascii="Arial" w:hAnsi="Arial" w:cs="Arial"/>
        </w:rPr>
        <w:t xml:space="preserve">Основным положениям № 442 </w:t>
      </w:r>
      <w:r w:rsidR="00AC64D6" w:rsidRPr="00AC64D6">
        <w:rPr>
          <w:rFonts w:ascii="Arial" w:hAnsi="Arial" w:cs="Arial"/>
          <w:b/>
          <w:i/>
        </w:rPr>
        <w:t>(расчет «Б»).</w:t>
      </w:r>
    </w:p>
    <w:p w:rsidR="006D7A3C" w:rsidRDefault="008171F0" w:rsidP="006D7A3C">
      <w:pPr>
        <w:autoSpaceDE w:val="0"/>
        <w:autoSpaceDN w:val="0"/>
        <w:adjustRightInd w:val="0"/>
        <w:spacing w:after="0" w:line="240" w:lineRule="auto"/>
        <w:ind w:firstLine="709"/>
        <w:jc w:val="both"/>
        <w:rPr>
          <w:rFonts w:ascii="Arial" w:hAnsi="Arial" w:cs="Arial"/>
        </w:rPr>
      </w:pPr>
      <w:r w:rsidRPr="00AC64D6">
        <w:rPr>
          <w:rFonts w:ascii="Arial" w:hAnsi="Arial" w:cs="Arial"/>
        </w:rPr>
        <w:t>Объем безучетного потребления определяется с даты предыдущей проверки прибора учета (в случае если такая проверка не была проведена в запланированные сроки, -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и составления акта о неучтенном пот</w:t>
      </w:r>
      <w:r w:rsidR="006D7A3C">
        <w:rPr>
          <w:rFonts w:ascii="Arial" w:hAnsi="Arial" w:cs="Arial"/>
        </w:rPr>
        <w:t>реблении электрической энергии.</w:t>
      </w:r>
    </w:p>
    <w:p w:rsidR="000567BC" w:rsidRDefault="000567BC" w:rsidP="006D7A3C">
      <w:pPr>
        <w:autoSpaceDE w:val="0"/>
        <w:autoSpaceDN w:val="0"/>
        <w:adjustRightInd w:val="0"/>
        <w:spacing w:after="0" w:line="240" w:lineRule="auto"/>
        <w:ind w:firstLine="709"/>
        <w:jc w:val="both"/>
        <w:rPr>
          <w:rFonts w:ascii="Arial" w:hAnsi="Arial" w:cs="Arial"/>
        </w:rPr>
      </w:pPr>
    </w:p>
    <w:p w:rsidR="006D7A3C" w:rsidRDefault="00AC64D6" w:rsidP="008D3DDB">
      <w:pPr>
        <w:autoSpaceDE w:val="0"/>
        <w:autoSpaceDN w:val="0"/>
        <w:adjustRightInd w:val="0"/>
        <w:spacing w:after="0" w:line="240" w:lineRule="auto"/>
        <w:ind w:firstLine="709"/>
        <w:jc w:val="both"/>
        <w:rPr>
          <w:rFonts w:ascii="Arial" w:hAnsi="Arial" w:cs="Arial"/>
        </w:rPr>
      </w:pPr>
      <w:r w:rsidRPr="006D7A3C">
        <w:rPr>
          <w:rFonts w:ascii="Arial" w:hAnsi="Arial" w:cs="Arial"/>
        </w:rPr>
        <w:t xml:space="preserve">Объем бездоговорного потребления электрической энергии определяется расчетным способом, предусмотренным </w:t>
      </w:r>
      <w:hyperlink r:id="rId19" w:history="1">
        <w:r w:rsidRPr="006D7A3C">
          <w:rPr>
            <w:rFonts w:ascii="Arial" w:hAnsi="Arial" w:cs="Arial"/>
          </w:rPr>
          <w:t>пунктом 2</w:t>
        </w:r>
      </w:hyperlink>
      <w:r w:rsidRPr="006D7A3C">
        <w:rPr>
          <w:rFonts w:ascii="Arial" w:hAnsi="Arial" w:cs="Arial"/>
        </w:rPr>
        <w:t xml:space="preserve"> приложения </w:t>
      </w:r>
      <w:r w:rsidR="006D7A3C">
        <w:rPr>
          <w:rFonts w:ascii="Arial" w:hAnsi="Arial" w:cs="Arial"/>
        </w:rPr>
        <w:t>№</w:t>
      </w:r>
      <w:r w:rsidRPr="006D7A3C">
        <w:rPr>
          <w:rFonts w:ascii="Arial" w:hAnsi="Arial" w:cs="Arial"/>
        </w:rPr>
        <w:t xml:space="preserve"> 3 к </w:t>
      </w:r>
      <w:r w:rsidR="006D7A3C">
        <w:rPr>
          <w:rFonts w:ascii="Arial" w:hAnsi="Arial" w:cs="Arial"/>
        </w:rPr>
        <w:t>Основным положениям № 442</w:t>
      </w:r>
      <w:r w:rsidRPr="006D7A3C">
        <w:rPr>
          <w:rFonts w:ascii="Arial" w:hAnsi="Arial" w:cs="Arial"/>
        </w:rPr>
        <w:t xml:space="preserve">, за период времени, в течение которого осуществлялось бездоговорное потребление электрической энергии, но не более чем за один </w:t>
      </w:r>
      <w:r w:rsidR="000567BC">
        <w:rPr>
          <w:rFonts w:ascii="Arial" w:hAnsi="Arial" w:cs="Arial"/>
        </w:rPr>
        <w:t>год.</w:t>
      </w:r>
    </w:p>
    <w:tbl>
      <w:tblPr>
        <w:tblStyle w:val="a3"/>
        <w:tblW w:w="0" w:type="auto"/>
        <w:tblLook w:val="04A0" w:firstRow="1" w:lastRow="0" w:firstColumn="1" w:lastColumn="0" w:noHBand="0" w:noVBand="1"/>
      </w:tblPr>
      <w:tblGrid>
        <w:gridCol w:w="9344"/>
      </w:tblGrid>
      <w:tr w:rsidR="006D7A3C" w:rsidTr="008D3DDB">
        <w:trPr>
          <w:trHeight w:val="3440"/>
        </w:trPr>
        <w:tc>
          <w:tcPr>
            <w:tcW w:w="9344" w:type="dxa"/>
          </w:tcPr>
          <w:p w:rsidR="006D7A3C" w:rsidRDefault="006D7A3C" w:rsidP="008D3DDB">
            <w:pPr>
              <w:autoSpaceDE w:val="0"/>
              <w:autoSpaceDN w:val="0"/>
              <w:adjustRightInd w:val="0"/>
              <w:ind w:firstLine="540"/>
              <w:jc w:val="both"/>
              <w:rPr>
                <w:rFonts w:ascii="Arial" w:hAnsi="Arial" w:cs="Arial"/>
              </w:rPr>
            </w:pPr>
            <w:r>
              <w:rPr>
                <w:rFonts w:ascii="Arial" w:hAnsi="Arial" w:cs="Arial"/>
              </w:rPr>
              <w:t>Объем бездоговорного потребления электрической энергии, МВт</w:t>
            </w:r>
            <w:r>
              <w:rPr>
                <w:rFonts w:ascii="Arial" w:hAnsi="Arial" w:cs="Arial"/>
                <w:noProof/>
                <w:position w:val="1"/>
                <w:lang w:eastAsia="ru-RU"/>
              </w:rPr>
              <w:drawing>
                <wp:inline distT="0" distB="0" distL="0" distR="0">
                  <wp:extent cx="74295" cy="140335"/>
                  <wp:effectExtent l="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295" cy="140335"/>
                          </a:xfrm>
                          <a:prstGeom prst="rect">
                            <a:avLst/>
                          </a:prstGeom>
                          <a:noFill/>
                          <a:ln>
                            <a:noFill/>
                          </a:ln>
                        </pic:spPr>
                      </pic:pic>
                    </a:graphicData>
                  </a:graphic>
                </wp:inline>
              </w:drawing>
            </w:r>
            <w:r>
              <w:rPr>
                <w:rFonts w:ascii="Arial" w:hAnsi="Arial" w:cs="Arial"/>
              </w:rPr>
              <w:t>ч, определяется исходя из величины допустимой длительной токовой нагрузки каждого вводного провода (кабеля) по формулам:</w:t>
            </w:r>
          </w:p>
          <w:p w:rsidR="006D7A3C" w:rsidRPr="008D3DDB" w:rsidRDefault="006D7A3C" w:rsidP="008D3DDB">
            <w:pPr>
              <w:autoSpaceDE w:val="0"/>
              <w:autoSpaceDN w:val="0"/>
              <w:adjustRightInd w:val="0"/>
              <w:ind w:firstLine="540"/>
              <w:jc w:val="both"/>
              <w:rPr>
                <w:rFonts w:ascii="Arial" w:hAnsi="Arial" w:cs="Arial"/>
                <w:u w:val="single"/>
              </w:rPr>
            </w:pPr>
            <w:r w:rsidRPr="008D3DDB">
              <w:rPr>
                <w:rFonts w:ascii="Arial" w:hAnsi="Arial" w:cs="Arial"/>
                <w:u w:val="single"/>
              </w:rPr>
              <w:t>для однофазного ввода</w:t>
            </w:r>
            <w:r w:rsidR="008D3DDB">
              <w:rPr>
                <w:rFonts w:ascii="Arial" w:hAnsi="Arial" w:cs="Arial"/>
                <w:u w:val="single"/>
              </w:rPr>
              <w:t>:</w:t>
            </w:r>
          </w:p>
          <w:p w:rsidR="006D7A3C" w:rsidRDefault="006D7A3C" w:rsidP="008D3DDB">
            <w:pPr>
              <w:autoSpaceDE w:val="0"/>
              <w:autoSpaceDN w:val="0"/>
              <w:adjustRightInd w:val="0"/>
              <w:jc w:val="center"/>
              <w:rPr>
                <w:rFonts w:ascii="Arial" w:hAnsi="Arial" w:cs="Arial"/>
              </w:rPr>
            </w:pPr>
            <w:r>
              <w:rPr>
                <w:rFonts w:ascii="Arial" w:hAnsi="Arial" w:cs="Arial"/>
                <w:noProof/>
                <w:position w:val="-25"/>
                <w:lang w:eastAsia="ru-RU"/>
              </w:rPr>
              <w:drawing>
                <wp:inline distT="0" distB="0" distL="0" distR="0">
                  <wp:extent cx="1969135" cy="4610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69135" cy="461010"/>
                          </a:xfrm>
                          <a:prstGeom prst="rect">
                            <a:avLst/>
                          </a:prstGeom>
                          <a:noFill/>
                          <a:ln>
                            <a:noFill/>
                          </a:ln>
                        </pic:spPr>
                      </pic:pic>
                    </a:graphicData>
                  </a:graphic>
                </wp:inline>
              </w:drawing>
            </w:r>
            <w:r w:rsidR="008D3DDB">
              <w:rPr>
                <w:rFonts w:ascii="Arial" w:hAnsi="Arial" w:cs="Arial"/>
              </w:rPr>
              <w:t>,</w:t>
            </w:r>
          </w:p>
          <w:p w:rsidR="006D7A3C" w:rsidRPr="008D3DDB" w:rsidRDefault="006D7A3C" w:rsidP="008D3DDB">
            <w:pPr>
              <w:autoSpaceDE w:val="0"/>
              <w:autoSpaceDN w:val="0"/>
              <w:adjustRightInd w:val="0"/>
              <w:ind w:firstLine="540"/>
              <w:jc w:val="both"/>
              <w:rPr>
                <w:rFonts w:ascii="Arial" w:hAnsi="Arial" w:cs="Arial"/>
                <w:u w:val="single"/>
              </w:rPr>
            </w:pPr>
            <w:r w:rsidRPr="008D3DDB">
              <w:rPr>
                <w:rFonts w:ascii="Arial" w:hAnsi="Arial" w:cs="Arial"/>
                <w:u w:val="single"/>
              </w:rPr>
              <w:t>для трехфазного ввода:</w:t>
            </w:r>
          </w:p>
          <w:p w:rsidR="006D7A3C" w:rsidRDefault="006D7A3C" w:rsidP="008D3DDB">
            <w:pPr>
              <w:autoSpaceDE w:val="0"/>
              <w:autoSpaceDN w:val="0"/>
              <w:adjustRightInd w:val="0"/>
              <w:ind w:firstLine="540"/>
              <w:jc w:val="both"/>
              <w:rPr>
                <w:rFonts w:ascii="Arial" w:hAnsi="Arial" w:cs="Arial"/>
              </w:rPr>
            </w:pPr>
          </w:p>
          <w:p w:rsidR="006D7A3C" w:rsidRDefault="006D7A3C" w:rsidP="008D3DDB">
            <w:pPr>
              <w:autoSpaceDE w:val="0"/>
              <w:autoSpaceDN w:val="0"/>
              <w:adjustRightInd w:val="0"/>
              <w:jc w:val="center"/>
              <w:rPr>
                <w:rFonts w:ascii="Arial" w:hAnsi="Arial" w:cs="Arial"/>
              </w:rPr>
            </w:pPr>
            <w:r>
              <w:rPr>
                <w:rFonts w:ascii="Arial" w:hAnsi="Arial" w:cs="Arial"/>
                <w:noProof/>
                <w:position w:val="-25"/>
                <w:lang w:eastAsia="ru-RU"/>
              </w:rPr>
              <w:drawing>
                <wp:inline distT="0" distB="0" distL="0" distR="0">
                  <wp:extent cx="2133600" cy="4610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3600" cy="461010"/>
                          </a:xfrm>
                          <a:prstGeom prst="rect">
                            <a:avLst/>
                          </a:prstGeom>
                          <a:noFill/>
                          <a:ln>
                            <a:noFill/>
                          </a:ln>
                        </pic:spPr>
                      </pic:pic>
                    </a:graphicData>
                  </a:graphic>
                </wp:inline>
              </w:drawing>
            </w:r>
            <w:r w:rsidR="008D3DDB">
              <w:rPr>
                <w:rFonts w:ascii="Arial" w:hAnsi="Arial" w:cs="Arial"/>
              </w:rPr>
              <w:t>,</w:t>
            </w:r>
          </w:p>
          <w:p w:rsidR="006D7A3C" w:rsidRPr="008D3DDB" w:rsidRDefault="006D7A3C" w:rsidP="008D3DDB">
            <w:pPr>
              <w:autoSpaceDE w:val="0"/>
              <w:autoSpaceDN w:val="0"/>
              <w:adjustRightInd w:val="0"/>
              <w:ind w:firstLine="540"/>
              <w:jc w:val="both"/>
              <w:rPr>
                <w:rFonts w:ascii="Arial" w:hAnsi="Arial" w:cs="Arial"/>
                <w:sz w:val="20"/>
                <w:szCs w:val="20"/>
              </w:rPr>
            </w:pPr>
            <w:r w:rsidRPr="008D3DDB">
              <w:rPr>
                <w:rFonts w:ascii="Arial" w:hAnsi="Arial" w:cs="Arial"/>
                <w:sz w:val="20"/>
                <w:szCs w:val="20"/>
              </w:rPr>
              <w:t>где T</w:t>
            </w:r>
            <w:r w:rsidRPr="008D3DDB">
              <w:rPr>
                <w:rFonts w:ascii="Arial" w:hAnsi="Arial" w:cs="Arial"/>
                <w:sz w:val="20"/>
                <w:szCs w:val="20"/>
                <w:vertAlign w:val="superscript"/>
              </w:rPr>
              <w:t>бд</w:t>
            </w:r>
            <w:r w:rsidRPr="008D3DDB">
              <w:rPr>
                <w:rFonts w:ascii="Arial" w:hAnsi="Arial" w:cs="Arial"/>
                <w:sz w:val="20"/>
                <w:szCs w:val="20"/>
              </w:rPr>
              <w:t xml:space="preserve"> - количество часов в определенном в соответствии с </w:t>
            </w:r>
            <w:hyperlink r:id="rId23" w:history="1">
              <w:r w:rsidRPr="008D3DDB">
                <w:rPr>
                  <w:rFonts w:ascii="Arial" w:hAnsi="Arial" w:cs="Arial"/>
                  <w:sz w:val="20"/>
                  <w:szCs w:val="20"/>
                </w:rPr>
                <w:t>пунктом 189</w:t>
              </w:r>
            </w:hyperlink>
            <w:r w:rsidRPr="008D3DDB">
              <w:rPr>
                <w:rFonts w:ascii="Arial" w:hAnsi="Arial" w:cs="Arial"/>
                <w:sz w:val="20"/>
                <w:szCs w:val="20"/>
              </w:rPr>
              <w:t xml:space="preserve"> Основных положений </w:t>
            </w:r>
            <w:r w:rsidR="008D3DDB">
              <w:rPr>
                <w:rFonts w:ascii="Arial" w:hAnsi="Arial" w:cs="Arial"/>
                <w:sz w:val="20"/>
                <w:szCs w:val="20"/>
              </w:rPr>
              <w:t>№ 442</w:t>
            </w:r>
            <w:r w:rsidRPr="008D3DDB">
              <w:rPr>
                <w:rFonts w:ascii="Arial" w:hAnsi="Arial" w:cs="Arial"/>
                <w:sz w:val="20"/>
                <w:szCs w:val="20"/>
              </w:rPr>
              <w:t xml:space="preserve"> периоде времени, в течение которого осуществлялось бездоговорное потребление, но не более чем 8760 часов, </w:t>
            </w:r>
            <w:r w:rsidR="008D3DDB" w:rsidRPr="008D3DDB">
              <w:rPr>
                <w:rFonts w:ascii="Arial" w:hAnsi="Arial" w:cs="Arial"/>
                <w:sz w:val="20"/>
                <w:szCs w:val="20"/>
              </w:rPr>
              <w:t>ч.</w:t>
            </w:r>
          </w:p>
        </w:tc>
      </w:tr>
    </w:tbl>
    <w:p w:rsidR="008D3DDB" w:rsidRDefault="008D3DDB" w:rsidP="008D3DDB">
      <w:pPr>
        <w:autoSpaceDE w:val="0"/>
        <w:autoSpaceDN w:val="0"/>
        <w:adjustRightInd w:val="0"/>
        <w:spacing w:after="0" w:line="240" w:lineRule="auto"/>
        <w:jc w:val="both"/>
        <w:rPr>
          <w:rFonts w:ascii="Arial" w:hAnsi="Arial" w:cs="Arial"/>
          <w:sz w:val="20"/>
          <w:szCs w:val="20"/>
        </w:rPr>
      </w:pPr>
    </w:p>
    <w:p w:rsidR="008D3DDB" w:rsidRPr="008D3DDB" w:rsidRDefault="008D3DDB" w:rsidP="008D3DDB">
      <w:pPr>
        <w:autoSpaceDE w:val="0"/>
        <w:autoSpaceDN w:val="0"/>
        <w:adjustRightInd w:val="0"/>
        <w:spacing w:after="0" w:line="240" w:lineRule="auto"/>
        <w:ind w:firstLine="709"/>
        <w:jc w:val="both"/>
        <w:rPr>
          <w:rFonts w:ascii="Arial" w:hAnsi="Arial" w:cs="Arial"/>
        </w:rPr>
      </w:pPr>
      <w:r w:rsidRPr="008D3DDB">
        <w:rPr>
          <w:rFonts w:ascii="Arial" w:hAnsi="Arial" w:cs="Arial"/>
        </w:rPr>
        <w:t>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электрической энергии и составления акта о неучтенном потреблении электрической энергии;</w:t>
      </w:r>
    </w:p>
    <w:p w:rsidR="008D3DDB" w:rsidRPr="008D3DDB" w:rsidRDefault="008D3DDB" w:rsidP="008D3DDB">
      <w:pPr>
        <w:autoSpaceDE w:val="0"/>
        <w:autoSpaceDN w:val="0"/>
        <w:adjustRightInd w:val="0"/>
        <w:spacing w:after="0" w:line="240" w:lineRule="auto"/>
        <w:ind w:firstLine="709"/>
        <w:jc w:val="both"/>
        <w:rPr>
          <w:rFonts w:ascii="Arial" w:hAnsi="Arial" w:cs="Arial"/>
        </w:rPr>
      </w:pPr>
      <w:r w:rsidRPr="008D3DDB">
        <w:rPr>
          <w:rFonts w:ascii="Arial" w:hAnsi="Arial" w:cs="Arial"/>
        </w:rPr>
        <w:t xml:space="preserve">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(в зависимости от того, какая из них наступила позднее) до даты выявления факта бездоговорного потребления электрической энергии и составления акта о неучтенном потреблении электрической энергии. Если проверка введенного ограничения ранее не проводилась и составление акта о неучтенном потреблении не осуществлялось, 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введения полного ограничения режима потребления электрической энергии, указанной в направленном инициатором ограничения режима потребления исполнителю (субисполнителю) уведомлении о необходимости введения ограничения режима потребления (даты, следующей за датой получения (субисполнителем) от потребителя уведомления о готовности к введению полного ограничения режима потребления), до даты выявления </w:t>
      </w:r>
      <w:r w:rsidRPr="008D3DDB">
        <w:rPr>
          <w:rFonts w:ascii="Arial" w:hAnsi="Arial" w:cs="Arial"/>
        </w:rPr>
        <w:lastRenderedPageBreak/>
        <w:t>факта бездоговорного потребления электрической энергии и составления акта о неучтенном потреблении электрической энергии.</w:t>
      </w:r>
    </w:p>
    <w:p w:rsidR="008D3DDB" w:rsidRPr="008D3DDB" w:rsidRDefault="008D3DDB" w:rsidP="008D3DDB">
      <w:pPr>
        <w:autoSpaceDE w:val="0"/>
        <w:autoSpaceDN w:val="0"/>
        <w:adjustRightInd w:val="0"/>
        <w:spacing w:after="0" w:line="240" w:lineRule="auto"/>
        <w:ind w:firstLine="709"/>
        <w:jc w:val="both"/>
        <w:rPr>
          <w:rFonts w:ascii="Arial" w:hAnsi="Arial" w:cs="Arial"/>
        </w:rPr>
      </w:pPr>
      <w:r w:rsidRPr="008D3DDB">
        <w:rPr>
          <w:rFonts w:ascii="Arial" w:hAnsi="Arial" w:cs="Arial"/>
        </w:rPr>
        <w:t>Лицо, осуществившее бездоговорное потребление электрической энергии, обязано оплатить стоимость электрической энергии в объеме бездоговорного потребления электрической энергии по счету в течение 10 дней со дня получения счета.</w:t>
      </w:r>
    </w:p>
    <w:p w:rsidR="00AC64D6" w:rsidRPr="00AE7861" w:rsidRDefault="008D3DDB" w:rsidP="008D3DDB">
      <w:pPr>
        <w:autoSpaceDE w:val="0"/>
        <w:autoSpaceDN w:val="0"/>
        <w:adjustRightInd w:val="0"/>
        <w:spacing w:after="0" w:line="240" w:lineRule="auto"/>
        <w:ind w:firstLine="709"/>
        <w:jc w:val="both"/>
        <w:rPr>
          <w:rFonts w:ascii="Arial" w:hAnsi="Arial" w:cs="Arial"/>
        </w:rPr>
      </w:pPr>
      <w:r w:rsidRPr="008D3DDB">
        <w:rPr>
          <w:rFonts w:ascii="Arial" w:hAnsi="Arial" w:cs="Arial"/>
        </w:rPr>
        <w:t>При отказе лица, осуществившего бездоговорное потребление электрической энергии, от оплаты указанного счета стоимость электрической энергии в объеме бездоговорного потребления электрической энергии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 электрической энергии.</w:t>
      </w:r>
    </w:p>
    <w:sectPr w:rsidR="00AC64D6" w:rsidRPr="00AE7861" w:rsidSect="00DD42B7">
      <w:footerReference w:type="default" r:id="rId2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E5D" w:rsidRDefault="00CA2E5D" w:rsidP="00786406">
      <w:pPr>
        <w:spacing w:after="0" w:line="240" w:lineRule="auto"/>
      </w:pPr>
      <w:r>
        <w:separator/>
      </w:r>
    </w:p>
  </w:endnote>
  <w:endnote w:type="continuationSeparator" w:id="0">
    <w:p w:rsidR="00CA2E5D" w:rsidRDefault="00CA2E5D" w:rsidP="00786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787908"/>
      <w:docPartObj>
        <w:docPartGallery w:val="Page Numbers (Bottom of Page)"/>
        <w:docPartUnique/>
      </w:docPartObj>
    </w:sdtPr>
    <w:sdtEndPr>
      <w:rPr>
        <w:rFonts w:ascii="Arial" w:hAnsi="Arial" w:cs="Arial"/>
        <w:sz w:val="20"/>
        <w:szCs w:val="20"/>
      </w:rPr>
    </w:sdtEndPr>
    <w:sdtContent>
      <w:p w:rsidR="00662CA9" w:rsidRPr="00985D6C" w:rsidRDefault="00662CA9">
        <w:pPr>
          <w:pStyle w:val="aa"/>
          <w:jc w:val="center"/>
          <w:rPr>
            <w:rFonts w:ascii="Arial" w:hAnsi="Arial" w:cs="Arial"/>
            <w:sz w:val="20"/>
            <w:szCs w:val="20"/>
          </w:rPr>
        </w:pPr>
        <w:r w:rsidRPr="00985D6C">
          <w:rPr>
            <w:rFonts w:ascii="Arial" w:hAnsi="Arial" w:cs="Arial"/>
            <w:sz w:val="20"/>
            <w:szCs w:val="20"/>
          </w:rPr>
          <w:fldChar w:fldCharType="begin"/>
        </w:r>
        <w:r w:rsidRPr="00985D6C">
          <w:rPr>
            <w:rFonts w:ascii="Arial" w:hAnsi="Arial" w:cs="Arial"/>
            <w:sz w:val="20"/>
            <w:szCs w:val="20"/>
          </w:rPr>
          <w:instrText>PAGE   \* MERGEFORMAT</w:instrText>
        </w:r>
        <w:r w:rsidRPr="00985D6C">
          <w:rPr>
            <w:rFonts w:ascii="Arial" w:hAnsi="Arial" w:cs="Arial"/>
            <w:sz w:val="20"/>
            <w:szCs w:val="20"/>
          </w:rPr>
          <w:fldChar w:fldCharType="separate"/>
        </w:r>
        <w:r w:rsidR="00716B4B">
          <w:rPr>
            <w:rFonts w:ascii="Arial" w:hAnsi="Arial" w:cs="Arial"/>
            <w:noProof/>
            <w:sz w:val="20"/>
            <w:szCs w:val="20"/>
          </w:rPr>
          <w:t>6</w:t>
        </w:r>
        <w:r w:rsidRPr="00985D6C">
          <w:rPr>
            <w:rFonts w:ascii="Arial" w:hAnsi="Arial" w:cs="Arial"/>
            <w:sz w:val="20"/>
            <w:szCs w:val="20"/>
          </w:rPr>
          <w:fldChar w:fldCharType="end"/>
        </w:r>
      </w:p>
    </w:sdtContent>
  </w:sdt>
  <w:p w:rsidR="00662CA9" w:rsidRDefault="00662CA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E5D" w:rsidRDefault="00CA2E5D" w:rsidP="00786406">
      <w:pPr>
        <w:spacing w:after="0" w:line="240" w:lineRule="auto"/>
      </w:pPr>
      <w:r>
        <w:separator/>
      </w:r>
    </w:p>
  </w:footnote>
  <w:footnote w:type="continuationSeparator" w:id="0">
    <w:p w:rsidR="00CA2E5D" w:rsidRDefault="00CA2E5D" w:rsidP="00786406">
      <w:pPr>
        <w:spacing w:after="0" w:line="240" w:lineRule="auto"/>
      </w:pPr>
      <w:r>
        <w:continuationSeparator/>
      </w:r>
    </w:p>
  </w:footnote>
  <w:footnote w:id="1">
    <w:p w:rsidR="00786406" w:rsidRPr="00786406" w:rsidRDefault="00786406" w:rsidP="00786406">
      <w:pPr>
        <w:pStyle w:val="a5"/>
        <w:ind w:firstLine="709"/>
        <w:jc w:val="both"/>
        <w:rPr>
          <w:rFonts w:ascii="Arial" w:hAnsi="Arial" w:cs="Arial"/>
          <w:sz w:val="16"/>
          <w:szCs w:val="16"/>
        </w:rPr>
      </w:pPr>
      <w:r w:rsidRPr="00786406">
        <w:rPr>
          <w:rStyle w:val="a7"/>
          <w:rFonts w:ascii="Arial" w:hAnsi="Arial" w:cs="Arial"/>
          <w:sz w:val="16"/>
          <w:szCs w:val="16"/>
        </w:rPr>
        <w:footnoteRef/>
      </w:r>
      <w:r w:rsidRPr="00786406">
        <w:rPr>
          <w:rFonts w:ascii="Arial" w:hAnsi="Arial" w:cs="Arial"/>
          <w:sz w:val="16"/>
          <w:szCs w:val="16"/>
        </w:rPr>
        <w:t xml:space="preserve"> 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E5F66"/>
    <w:multiLevelType w:val="hybridMultilevel"/>
    <w:tmpl w:val="5A6EA2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307FD0"/>
    <w:multiLevelType w:val="hybridMultilevel"/>
    <w:tmpl w:val="4956C1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09F4635"/>
    <w:multiLevelType w:val="hybridMultilevel"/>
    <w:tmpl w:val="C85CE3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9B"/>
    <w:rsid w:val="000567BC"/>
    <w:rsid w:val="00093DCB"/>
    <w:rsid w:val="000B259B"/>
    <w:rsid w:val="000F58B3"/>
    <w:rsid w:val="00236B0A"/>
    <w:rsid w:val="002666F3"/>
    <w:rsid w:val="0034474F"/>
    <w:rsid w:val="003A0E05"/>
    <w:rsid w:val="00430858"/>
    <w:rsid w:val="00662CA9"/>
    <w:rsid w:val="00673B33"/>
    <w:rsid w:val="00682553"/>
    <w:rsid w:val="006D7A3C"/>
    <w:rsid w:val="006F219C"/>
    <w:rsid w:val="00716B4B"/>
    <w:rsid w:val="00763D81"/>
    <w:rsid w:val="00786406"/>
    <w:rsid w:val="007D5C27"/>
    <w:rsid w:val="0081089A"/>
    <w:rsid w:val="008171F0"/>
    <w:rsid w:val="00854505"/>
    <w:rsid w:val="008D3DDB"/>
    <w:rsid w:val="008E0F2F"/>
    <w:rsid w:val="00985D6C"/>
    <w:rsid w:val="00994061"/>
    <w:rsid w:val="00AC64D6"/>
    <w:rsid w:val="00AE7861"/>
    <w:rsid w:val="00C10C17"/>
    <w:rsid w:val="00C40CFF"/>
    <w:rsid w:val="00C62157"/>
    <w:rsid w:val="00C81C84"/>
    <w:rsid w:val="00CA2E5D"/>
    <w:rsid w:val="00D00F0D"/>
    <w:rsid w:val="00DC60EA"/>
    <w:rsid w:val="00DD42B7"/>
    <w:rsid w:val="00E75BA2"/>
    <w:rsid w:val="00E95B76"/>
    <w:rsid w:val="00EE4B9A"/>
    <w:rsid w:val="00F27A96"/>
    <w:rsid w:val="00F5399C"/>
    <w:rsid w:val="00F619AF"/>
    <w:rsid w:val="00FF4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7E7F"/>
  <w15:chartTrackingRefBased/>
  <w15:docId w15:val="{DA376057-4E57-445B-9060-7F523B74D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0858"/>
    <w:pPr>
      <w:ind w:left="720"/>
      <w:contextualSpacing/>
    </w:pPr>
  </w:style>
  <w:style w:type="paragraph" w:styleId="a5">
    <w:name w:val="footnote text"/>
    <w:basedOn w:val="a"/>
    <w:link w:val="a6"/>
    <w:uiPriority w:val="99"/>
    <w:semiHidden/>
    <w:unhideWhenUsed/>
    <w:rsid w:val="00786406"/>
    <w:pPr>
      <w:spacing w:after="0" w:line="240" w:lineRule="auto"/>
    </w:pPr>
    <w:rPr>
      <w:sz w:val="20"/>
      <w:szCs w:val="20"/>
    </w:rPr>
  </w:style>
  <w:style w:type="character" w:customStyle="1" w:styleId="a6">
    <w:name w:val="Текст сноски Знак"/>
    <w:basedOn w:val="a0"/>
    <w:link w:val="a5"/>
    <w:uiPriority w:val="99"/>
    <w:semiHidden/>
    <w:rsid w:val="00786406"/>
    <w:rPr>
      <w:sz w:val="20"/>
      <w:szCs w:val="20"/>
    </w:rPr>
  </w:style>
  <w:style w:type="character" w:styleId="a7">
    <w:name w:val="footnote reference"/>
    <w:basedOn w:val="a0"/>
    <w:uiPriority w:val="99"/>
    <w:semiHidden/>
    <w:unhideWhenUsed/>
    <w:rsid w:val="00786406"/>
    <w:rPr>
      <w:vertAlign w:val="superscript"/>
    </w:rPr>
  </w:style>
  <w:style w:type="paragraph" w:styleId="a8">
    <w:name w:val="header"/>
    <w:basedOn w:val="a"/>
    <w:link w:val="a9"/>
    <w:uiPriority w:val="99"/>
    <w:unhideWhenUsed/>
    <w:rsid w:val="00662CA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2CA9"/>
  </w:style>
  <w:style w:type="paragraph" w:styleId="aa">
    <w:name w:val="footer"/>
    <w:basedOn w:val="a"/>
    <w:link w:val="ab"/>
    <w:uiPriority w:val="99"/>
    <w:unhideWhenUsed/>
    <w:rsid w:val="00662C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2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3A322D6CF7D25985CDC28791BF96A280A316CA724FB583D0B703DE7D9F1D242E0A7DB22372B45500780D3CA4CA41AAE4D52517342FDBABGCN7L" TargetMode="External"/><Relationship Id="rId13" Type="http://schemas.openxmlformats.org/officeDocument/2006/relationships/image" Target="media/image5.wmf"/><Relationship Id="rId18" Type="http://schemas.openxmlformats.org/officeDocument/2006/relationships/hyperlink" Target="consultantplus://offline/ref=73EC219F95BC7EED4CEC81FBE492483A351E6D1897523EC5B7A429BEC972537BF17F4D3EC8368E48CFE2A82495F4B833D9FB01AD472027AElEsF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consultantplus://offline/ref=73EC219F95BC7EED4CEC81FBE492483A351E6D199B543EC5B7A429BEC972537BF17F4D3EC834884BCAE2A82495F4B833D9FB01AD472027AElEsF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3EC219F95BC7EED4CEC81FBE492483A351E6C1A9F563EC5B7A429BEC972537BF17F4D3EC834884AC3E2A82495F4B833D9FB01AD472027AElEsFF" TargetMode="Externa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3EC219F95BC7EED4CEC81FBE492483A351E6D1897523EC5B7A429BEC972537BF17F4D3EC8368E48C8E2A82495F4B833D9FB01AD472027AElEsFF" TargetMode="External"/><Relationship Id="rId23" Type="http://schemas.openxmlformats.org/officeDocument/2006/relationships/hyperlink" Target="consultantplus://offline/ref=59FACC8BA37313F03C0F7CDD16A693D94D18BF8E78F5866340005429A2E1F7463B5BB4C6FEC783285D195C965E957175A8859F550E4BiFd1G" TargetMode="External"/><Relationship Id="rId10" Type="http://schemas.openxmlformats.org/officeDocument/2006/relationships/image" Target="media/image2.wmf"/><Relationship Id="rId19" Type="http://schemas.openxmlformats.org/officeDocument/2006/relationships/hyperlink" Target="consultantplus://offline/ref=EBF67BFBE0AB4F81FB36AAE4A8DF942C22281A46F35F00FC4089B1563148E376F71F8DD53412B32A55439BF8BAB88CE1EB174C37C0C72535l1b9G"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consultantplus://offline/ref=C0A094D0D4E34884534D447D558D6E92DCCE0E67C530825B0BE8D3865A53DC78BEE44B4099A57580F7B15110E263360A87DABCB6E26FDEABA7Z8L" TargetMode="External"/><Relationship Id="rId22"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56728-7AE5-4A44-89DC-A0B64777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3487</Words>
  <Characters>19878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Саломатина Елена Владимировна</dc:creator>
  <cp:keywords/>
  <dc:description/>
  <cp:lastModifiedBy>Саломатина Елена Владимировна</cp:lastModifiedBy>
  <cp:revision>21</cp:revision>
  <dcterms:created xsi:type="dcterms:W3CDTF">2021-01-14T06:13:00Z</dcterms:created>
  <dcterms:modified xsi:type="dcterms:W3CDTF">2021-01-15T09:15:00Z</dcterms:modified>
</cp:coreProperties>
</file>